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rPr>
          <w:rFonts w:ascii="方正小标宋简体" w:hAnsi="宋体" w:eastAsia="方正小标宋简体"/>
          <w:szCs w:val="21"/>
        </w:rPr>
      </w:pPr>
    </w:p>
    <w:p>
      <w:pPr>
        <w:rPr>
          <w:rFonts w:ascii="方正小标宋简体" w:hAnsi="宋体" w:eastAsia="方正小标宋简体"/>
          <w:szCs w:val="21"/>
        </w:rPr>
      </w:pPr>
    </w:p>
    <w:p>
      <w:pPr>
        <w:pStyle w:val="2"/>
        <w:rPr>
          <w:rFonts w:ascii="方正小标宋简体" w:hAnsi="宋体" w:eastAsia="方正小标宋简体"/>
          <w:szCs w:val="21"/>
        </w:rPr>
      </w:pPr>
    </w:p>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96597"/>
      <w:bookmarkStart w:id="4" w:name="_Toc15396475"/>
      <w:bookmarkStart w:id="5" w:name="_Toc29493"/>
      <w:bookmarkStart w:id="6"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8442"/>
      <w:bookmarkStart w:id="8" w:name="_Toc15396598"/>
      <w:bookmarkStart w:id="9" w:name="_Toc15377194"/>
      <w:bookmarkStart w:id="10" w:name="_Toc15377426"/>
      <w:bookmarkStart w:id="11" w:name="_Toc15396476"/>
      <w:bookmarkStart w:id="12" w:name="_Toc23821"/>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val="en-US" w:eastAsia="zh-CN"/>
        </w:rPr>
        <w:t>泸县社会保险事业管理局</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hint="eastAsia"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r>
        <w:rPr>
          <w:rFonts w:hint="eastAsia" w:ascii="黑体" w:hAnsi="黑体" w:eastAsia="黑体"/>
          <w:sz w:val="48"/>
          <w:szCs w:val="48"/>
        </w:rPr>
        <w:t>目录</w:t>
      </w:r>
    </w:p>
    <w:p>
      <w:pPr>
        <w:outlineLvl w:val="0"/>
      </w:pPr>
    </w:p>
    <w:p>
      <w:pPr>
        <w:pStyle w:val="13"/>
        <w:rPr>
          <w:rFonts w:hint="eastAsia" w:ascii="黑体" w:hAnsi="黑体" w:eastAsia="黑体" w:cs="黑体"/>
        </w:rPr>
      </w:pPr>
      <w:r>
        <w:rPr>
          <w:rFonts w:hint="eastAsia"/>
        </w:rPr>
        <w:t>公开时间：202</w:t>
      </w:r>
      <w:r>
        <w:rPr>
          <w:rFonts w:hint="eastAsia"/>
          <w:lang w:val="en-US" w:eastAsia="zh-CN"/>
        </w:rPr>
        <w:t>4</w:t>
      </w:r>
      <w:r>
        <w:rPr>
          <w:rFonts w:hint="eastAsia"/>
        </w:rPr>
        <w:t>年9月</w:t>
      </w:r>
      <w:r>
        <w:rPr>
          <w:rFonts w:hint="eastAsia"/>
          <w:lang w:val="en-US" w:eastAsia="zh-CN"/>
        </w:rPr>
        <w:t>2</w:t>
      </w:r>
      <w:r>
        <w:rPr>
          <w:rFonts w:hint="eastAsia"/>
        </w:rPr>
        <w:t>6日</w:t>
      </w:r>
      <w:r>
        <w:rPr>
          <w:rFonts w:hint="eastAsia" w:ascii="黑体" w:hAnsi="黑体" w:eastAsia="黑体" w:cs="黑体"/>
        </w:rPr>
        <w:fldChar w:fldCharType="begin"/>
      </w:r>
      <w:r>
        <w:rPr>
          <w:rFonts w:hint="eastAsia" w:ascii="黑体" w:hAnsi="黑体" w:eastAsia="黑体" w:cs="黑体"/>
        </w:rPr>
        <w:instrText xml:space="preserve">TOC \o "1-2" \u </w:instrText>
      </w:r>
      <w:r>
        <w:rPr>
          <w:rFonts w:hint="eastAsia" w:ascii="黑体" w:hAnsi="黑体" w:eastAsia="黑体" w:cs="黑体"/>
        </w:rPr>
        <w:fldChar w:fldCharType="separate"/>
      </w:r>
    </w:p>
    <w:p>
      <w:pPr>
        <w:pStyle w:val="13"/>
        <w:bidi w:val="0"/>
        <w:rPr>
          <w:rFonts w:hint="eastAsia" w:ascii="黑体" w:hAnsi="黑体" w:eastAsia="黑体" w:cs="黑体"/>
        </w:rPr>
      </w:pPr>
      <w:r>
        <w:rPr>
          <w:rFonts w:hint="eastAsia" w:ascii="黑体" w:hAnsi="黑体" w:eastAsia="黑体" w:cs="黑体"/>
        </w:rPr>
        <w:t>第一部分 单位</w:t>
      </w:r>
      <w:r>
        <w:rPr>
          <w:rFonts w:hint="eastAsia" w:ascii="黑体" w:hAnsi="黑体" w:eastAsia="黑体" w:cs="黑体"/>
          <w:bCs w:val="0"/>
        </w:rPr>
        <w:t>概况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_Toc31056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lang w:val="en-US"/>
        </w:rPr>
      </w:pPr>
      <w:r>
        <w:rPr>
          <w:rFonts w:hint="eastAsia" w:ascii="黑体" w:hAnsi="黑体" w:eastAsia="黑体" w:cs="黑体"/>
          <w:bCs w:val="0"/>
        </w:rPr>
        <w:t>一、主要职责</w:t>
      </w:r>
      <w:r>
        <w:rPr>
          <w:rFonts w:hint="eastAsia" w:ascii="黑体" w:hAnsi="黑体" w:eastAsia="黑体" w:cs="黑体"/>
        </w:rPr>
        <w:tab/>
      </w:r>
      <w:r>
        <w:rPr>
          <w:rFonts w:hint="eastAsia" w:ascii="黑体" w:hAnsi="黑体" w:eastAsia="黑体" w:cs="黑体"/>
          <w:lang w:val="en-US" w:eastAsia="zh-CN"/>
        </w:rPr>
        <w:t xml:space="preserve"> 2</w:t>
      </w:r>
    </w:p>
    <w:p>
      <w:pPr>
        <w:pStyle w:val="14"/>
        <w:tabs>
          <w:tab w:val="right" w:leader="dot" w:pos="8306"/>
          <w:tab w:val="clear" w:pos="8296"/>
        </w:tabs>
        <w:rPr>
          <w:rFonts w:hint="eastAsia" w:ascii="黑体" w:hAnsi="黑体" w:eastAsia="黑体" w:cs="黑体"/>
        </w:rPr>
      </w:pPr>
      <w:r>
        <w:rPr>
          <w:rFonts w:hint="eastAsia" w:ascii="黑体" w:hAnsi="黑体" w:eastAsia="黑体" w:cs="黑体"/>
        </w:rPr>
        <w:t>二、机构设置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_Toc572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p>
    <w:p>
      <w:pPr>
        <w:pStyle w:val="13"/>
        <w:tabs>
          <w:tab w:val="right" w:leader="dot" w:pos="8306"/>
          <w:tab w:val="clear" w:pos="8296"/>
        </w:tabs>
        <w:rPr>
          <w:rFonts w:hint="eastAsia" w:ascii="黑体" w:hAnsi="黑体" w:eastAsia="黑体" w:cs="黑体"/>
        </w:rPr>
      </w:pPr>
      <w:r>
        <w:rPr>
          <w:rFonts w:hint="eastAsia" w:ascii="黑体" w:hAnsi="黑体" w:eastAsia="黑体" w:cs="黑体"/>
        </w:rPr>
        <w:t>第二部分 2023年度</w:t>
      </w:r>
      <w:r>
        <w:rPr>
          <w:rFonts w:hint="eastAsia" w:ascii="黑体" w:hAnsi="黑体" w:eastAsia="黑体" w:cs="黑体"/>
          <w:bCs/>
        </w:rPr>
        <w:t>单位决算情况说明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_Toc28104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rPr>
        <w:t xml:space="preserve">一、 </w:t>
      </w:r>
      <w:r>
        <w:rPr>
          <w:rFonts w:hint="eastAsia" w:ascii="黑体" w:hAnsi="黑体" w:eastAsia="黑体" w:cs="黑体"/>
          <w:szCs w:val="32"/>
        </w:rPr>
        <w:t>收</w:t>
      </w:r>
      <w:r>
        <w:rPr>
          <w:rFonts w:hint="eastAsia" w:ascii="黑体" w:hAnsi="黑体" w:eastAsia="黑体" w:cs="黑体"/>
        </w:rPr>
        <w:t>入支出决算总体情况说明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_Toc29931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rPr>
        <w:t xml:space="preserve">二、 </w:t>
      </w:r>
      <w:r>
        <w:rPr>
          <w:rFonts w:hint="eastAsia" w:ascii="黑体" w:hAnsi="黑体" w:eastAsia="黑体" w:cs="黑体"/>
          <w:szCs w:val="32"/>
        </w:rPr>
        <w:t>收</w:t>
      </w:r>
      <w:r>
        <w:rPr>
          <w:rFonts w:hint="eastAsia" w:ascii="黑体" w:hAnsi="黑体" w:eastAsia="黑体" w:cs="黑体"/>
        </w:rPr>
        <w:t>入决算情况说明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_Toc14750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rPr>
        <w:t xml:space="preserve">三、 </w:t>
      </w:r>
      <w:r>
        <w:rPr>
          <w:rFonts w:hint="eastAsia" w:ascii="黑体" w:hAnsi="黑体" w:eastAsia="黑体" w:cs="黑体"/>
          <w:szCs w:val="32"/>
        </w:rPr>
        <w:t>支</w:t>
      </w:r>
      <w:r>
        <w:rPr>
          <w:rFonts w:hint="eastAsia" w:ascii="黑体" w:hAnsi="黑体" w:eastAsia="黑体" w:cs="黑体"/>
        </w:rPr>
        <w:t>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_Toc14766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szCs w:val="32"/>
        </w:rPr>
        <w:t>四、财</w:t>
      </w:r>
      <w:r>
        <w:rPr>
          <w:rFonts w:hint="eastAsia" w:ascii="黑体" w:hAnsi="黑体" w:eastAsia="黑体" w:cs="黑体"/>
        </w:rPr>
        <w:t>政拨款收入支出决算总体情况说明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_Toc21093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szCs w:val="32"/>
        </w:rPr>
        <w:t>五、一</w:t>
      </w:r>
      <w:r>
        <w:rPr>
          <w:rFonts w:hint="eastAsia" w:ascii="黑体" w:hAnsi="黑体" w:eastAsia="黑体" w:cs="黑体"/>
        </w:rPr>
        <w:t>般公共预算财政拨款支出决算情况说明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_Toc19830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szCs w:val="32"/>
        </w:rPr>
        <w:t>六、一</w:t>
      </w:r>
      <w:r>
        <w:rPr>
          <w:rFonts w:hint="eastAsia" w:ascii="黑体" w:hAnsi="黑体" w:eastAsia="黑体" w:cs="黑体"/>
        </w:rPr>
        <w:t>般公共预算财政拨款基本支出决算情况说明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_Toc3413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szCs w:val="32"/>
        </w:rPr>
        <w:t>七、</w:t>
      </w:r>
      <w:r>
        <w:rPr>
          <w:rFonts w:hint="eastAsia" w:ascii="黑体" w:hAnsi="黑体" w:eastAsia="黑体" w:cs="黑体"/>
        </w:rPr>
        <w:t>财政拨款“三公”经费支出决算情况说明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_Toc4657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szCs w:val="32"/>
        </w:rPr>
        <w:t>八、</w:t>
      </w:r>
      <w:r>
        <w:rPr>
          <w:rFonts w:hint="eastAsia" w:ascii="黑体" w:hAnsi="黑体" w:eastAsia="黑体" w:cs="黑体"/>
        </w:rPr>
        <w:t>政府性基金预算支出决算情况说明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_Toc28451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rPr>
        <w:t>九、 国有资本经营预算支出决算情况说明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_Toc10993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rPr>
        <w:t>十、 其他重要事项的情况说明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p>
    <w:p>
      <w:pPr>
        <w:pStyle w:val="13"/>
        <w:tabs>
          <w:tab w:val="right" w:leader="dot" w:pos="8306"/>
          <w:tab w:val="clear" w:pos="8296"/>
        </w:tabs>
        <w:rPr>
          <w:rFonts w:hint="eastAsia" w:ascii="黑体" w:hAnsi="黑体" w:eastAsia="黑体" w:cs="黑体"/>
        </w:rPr>
      </w:pPr>
      <w:r>
        <w:rPr>
          <w:rFonts w:hint="eastAsia" w:ascii="黑体" w:hAnsi="黑体" w:eastAsia="黑体" w:cs="黑体"/>
          <w:szCs w:val="44"/>
        </w:rPr>
        <w:t>第三部分 名</w:t>
      </w:r>
      <w:r>
        <w:rPr>
          <w:rFonts w:hint="eastAsia" w:ascii="黑体" w:hAnsi="黑体" w:eastAsia="黑体" w:cs="黑体"/>
        </w:rPr>
        <w:t>词解释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_Toc9720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p>
    <w:p>
      <w:pPr>
        <w:pStyle w:val="13"/>
        <w:tabs>
          <w:tab w:val="right" w:leader="dot" w:pos="8306"/>
          <w:tab w:val="clear" w:pos="8296"/>
        </w:tabs>
        <w:rPr>
          <w:rFonts w:hint="eastAsia" w:ascii="黑体" w:hAnsi="黑体" w:eastAsia="黑体" w:cs="黑体"/>
          <w:sz w:val="22"/>
          <w:szCs w:val="24"/>
        </w:rPr>
      </w:pPr>
      <w:r>
        <w:rPr>
          <w:rFonts w:hint="eastAsia" w:ascii="黑体" w:hAnsi="黑体" w:eastAsia="黑体" w:cs="黑体"/>
          <w:szCs w:val="44"/>
        </w:rPr>
        <w:t>第</w:t>
      </w:r>
      <w:r>
        <w:rPr>
          <w:rFonts w:hint="eastAsia" w:ascii="黑体" w:hAnsi="黑体" w:eastAsia="黑体" w:cs="黑体"/>
        </w:rPr>
        <w:t>四部分 附件</w:t>
      </w:r>
      <w:r>
        <w:rPr>
          <w:rFonts w:hint="eastAsia" w:ascii="黑体" w:hAnsi="黑体" w:eastAsia="黑体" w:cs="黑体"/>
        </w:rPr>
        <w:tab/>
      </w:r>
      <w:r>
        <w:rPr>
          <w:rFonts w:hint="eastAsia" w:ascii="黑体" w:hAnsi="黑体" w:eastAsia="黑体" w:cs="黑体"/>
          <w:lang w:val="en-US" w:eastAsia="zh-CN"/>
        </w:rPr>
        <w:t>16</w:t>
      </w:r>
    </w:p>
    <w:p>
      <w:pPr>
        <w:pStyle w:val="13"/>
        <w:tabs>
          <w:tab w:val="right" w:leader="dot" w:pos="8306"/>
          <w:tab w:val="clear" w:pos="8296"/>
        </w:tabs>
        <w:rPr>
          <w:rFonts w:hint="eastAsia" w:ascii="黑体" w:hAnsi="黑体" w:eastAsia="黑体" w:cs="黑体"/>
        </w:rPr>
      </w:pPr>
      <w:r>
        <w:rPr>
          <w:rFonts w:hint="eastAsia" w:ascii="黑体" w:hAnsi="黑体" w:eastAsia="黑体" w:cs="黑体"/>
          <w:szCs w:val="44"/>
        </w:rPr>
        <w:t>第</w:t>
      </w:r>
      <w:r>
        <w:rPr>
          <w:rFonts w:hint="eastAsia" w:ascii="黑体" w:hAnsi="黑体" w:eastAsia="黑体" w:cs="黑体"/>
        </w:rPr>
        <w:t>五部分 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_Toc26573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lang w:val="en-US" w:eastAsia="zh-CN"/>
        </w:rPr>
      </w:pPr>
      <w:r>
        <w:rPr>
          <w:rFonts w:hint="eastAsia" w:ascii="黑体" w:hAnsi="黑体" w:eastAsia="黑体" w:cs="黑体"/>
        </w:rPr>
        <w:t>一、收</w:t>
      </w:r>
      <w:r>
        <w:rPr>
          <w:rFonts w:hint="eastAsia" w:ascii="黑体" w:hAnsi="黑体" w:eastAsia="黑体" w:cs="黑体"/>
          <w:bCs w:val="0"/>
        </w:rPr>
        <w:t>入支出决算总表</w:t>
      </w:r>
      <w:r>
        <w:rPr>
          <w:rFonts w:hint="eastAsia" w:ascii="黑体" w:hAnsi="黑体" w:eastAsia="黑体" w:cs="黑体"/>
        </w:rPr>
        <w:tab/>
      </w:r>
      <w:r>
        <w:rPr>
          <w:rFonts w:hint="eastAsia" w:ascii="黑体" w:hAnsi="黑体" w:eastAsia="黑体" w:cs="黑体"/>
          <w:lang w:val="en-US" w:eastAsia="zh-CN"/>
        </w:rPr>
        <w:t>32</w:t>
      </w:r>
    </w:p>
    <w:p>
      <w:pPr>
        <w:pStyle w:val="14"/>
        <w:tabs>
          <w:tab w:val="right" w:leader="dot" w:pos="8306"/>
          <w:tab w:val="clear" w:pos="8296"/>
        </w:tabs>
        <w:rPr>
          <w:rFonts w:hint="eastAsia" w:ascii="黑体" w:hAnsi="黑体" w:eastAsia="黑体" w:cs="黑体"/>
          <w:lang w:val="en-US" w:eastAsia="zh-CN"/>
        </w:rPr>
      </w:pPr>
      <w:r>
        <w:rPr>
          <w:rFonts w:hint="eastAsia" w:ascii="黑体" w:hAnsi="黑体" w:eastAsia="黑体" w:cs="黑体"/>
        </w:rPr>
        <w:t>二、收</w:t>
      </w:r>
      <w:r>
        <w:rPr>
          <w:rFonts w:hint="eastAsia" w:ascii="黑体" w:hAnsi="黑体" w:eastAsia="黑体" w:cs="黑体"/>
          <w:bCs w:val="0"/>
        </w:rPr>
        <w:t>入决算表</w:t>
      </w:r>
      <w:r>
        <w:rPr>
          <w:rFonts w:hint="eastAsia" w:ascii="黑体" w:hAnsi="黑体" w:eastAsia="黑体" w:cs="黑体"/>
        </w:rPr>
        <w:tab/>
      </w:r>
      <w:r>
        <w:rPr>
          <w:rFonts w:hint="eastAsia" w:ascii="黑体" w:hAnsi="黑体" w:eastAsia="黑体" w:cs="黑体"/>
          <w:lang w:val="en-US" w:eastAsia="zh-CN"/>
        </w:rPr>
        <w:t>32</w:t>
      </w:r>
    </w:p>
    <w:p>
      <w:pPr>
        <w:pStyle w:val="14"/>
        <w:tabs>
          <w:tab w:val="right" w:leader="dot" w:pos="8306"/>
          <w:tab w:val="clear" w:pos="8296"/>
        </w:tabs>
        <w:rPr>
          <w:rFonts w:hint="eastAsia" w:ascii="黑体" w:hAnsi="黑体" w:eastAsia="黑体" w:cs="黑体"/>
        </w:rPr>
      </w:pPr>
      <w:r>
        <w:rPr>
          <w:rFonts w:hint="eastAsia" w:ascii="黑体" w:hAnsi="黑体" w:eastAsia="黑体" w:cs="黑体"/>
          <w:bCs w:val="0"/>
        </w:rPr>
        <w:t>三、</w:t>
      </w:r>
      <w:r>
        <w:rPr>
          <w:rFonts w:hint="eastAsia" w:ascii="黑体" w:hAnsi="黑体" w:eastAsia="黑体" w:cs="黑体"/>
        </w:rPr>
        <w:t>支</w:t>
      </w:r>
      <w:r>
        <w:rPr>
          <w:rFonts w:hint="eastAsia" w:ascii="黑体" w:hAnsi="黑体" w:eastAsia="黑体" w:cs="黑体"/>
          <w:bCs w:val="0"/>
        </w:rPr>
        <w:t>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_Toc13855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bCs w:val="0"/>
        </w:rPr>
        <w:t>四、</w:t>
      </w:r>
      <w:r>
        <w:rPr>
          <w:rFonts w:hint="eastAsia" w:ascii="黑体" w:hAnsi="黑体" w:eastAsia="黑体" w:cs="黑体"/>
        </w:rPr>
        <w:t>财</w:t>
      </w:r>
      <w:r>
        <w:rPr>
          <w:rFonts w:hint="eastAsia" w:ascii="黑体" w:hAnsi="黑体" w:eastAsia="黑体" w:cs="黑体"/>
          <w:bCs w:val="0"/>
        </w:rPr>
        <w:t>政拨款收入支出决算总表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_Toc6589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bCs w:val="0"/>
        </w:rPr>
        <w:t>五、</w:t>
      </w:r>
      <w:r>
        <w:rPr>
          <w:rFonts w:hint="eastAsia" w:ascii="黑体" w:hAnsi="黑体" w:eastAsia="黑体" w:cs="黑体"/>
        </w:rPr>
        <w:t>财</w:t>
      </w:r>
      <w:r>
        <w:rPr>
          <w:rFonts w:hint="eastAsia" w:ascii="黑体" w:hAnsi="黑体" w:eastAsia="黑体" w:cs="黑体"/>
          <w:bCs w:val="0"/>
        </w:rPr>
        <w:t>政拨款支出决算明细表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_Toc28052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bCs w:val="0"/>
        </w:rPr>
        <w:t>六、</w:t>
      </w:r>
      <w:r>
        <w:rPr>
          <w:rFonts w:hint="eastAsia" w:ascii="黑体" w:hAnsi="黑体" w:eastAsia="黑体" w:cs="黑体"/>
        </w:rPr>
        <w:t>一</w:t>
      </w:r>
      <w:r>
        <w:rPr>
          <w:rFonts w:hint="eastAsia" w:ascii="黑体" w:hAnsi="黑体" w:eastAsia="黑体" w:cs="黑体"/>
          <w:bCs w:val="0"/>
        </w:rPr>
        <w:t>般公共预算财政拨款支出决算表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_Toc24553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bCs w:val="0"/>
        </w:rPr>
        <w:t>七、</w:t>
      </w:r>
      <w:r>
        <w:rPr>
          <w:rFonts w:hint="eastAsia" w:ascii="黑体" w:hAnsi="黑体" w:eastAsia="黑体" w:cs="黑体"/>
        </w:rPr>
        <w:t>一</w:t>
      </w:r>
      <w:r>
        <w:rPr>
          <w:rFonts w:hint="eastAsia" w:ascii="黑体" w:hAnsi="黑体" w:eastAsia="黑体" w:cs="黑体"/>
          <w:bCs w:val="0"/>
        </w:rPr>
        <w:t>般公共预算财政拨款支出决算明细表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_Toc16778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bCs w:val="0"/>
        </w:rPr>
        <w:t>八、</w:t>
      </w:r>
      <w:r>
        <w:rPr>
          <w:rFonts w:hint="eastAsia" w:ascii="黑体" w:hAnsi="黑体" w:eastAsia="黑体" w:cs="黑体"/>
        </w:rPr>
        <w:t>一</w:t>
      </w:r>
      <w:r>
        <w:rPr>
          <w:rFonts w:hint="eastAsia" w:ascii="黑体" w:hAnsi="黑体" w:eastAsia="黑体" w:cs="黑体"/>
          <w:bCs w:val="0"/>
        </w:rPr>
        <w:t>般公共预算财政拨款基本支出决算表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_Toc11321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bCs w:val="0"/>
        </w:rPr>
        <w:t>九、</w:t>
      </w:r>
      <w:r>
        <w:rPr>
          <w:rFonts w:hint="eastAsia" w:ascii="黑体" w:hAnsi="黑体" w:eastAsia="黑体" w:cs="黑体"/>
        </w:rPr>
        <w:t>一</w:t>
      </w:r>
      <w:r>
        <w:rPr>
          <w:rFonts w:hint="eastAsia" w:ascii="黑体" w:hAnsi="黑体" w:eastAsia="黑体" w:cs="黑体"/>
          <w:bCs w:val="0"/>
        </w:rPr>
        <w:t>般公共预算财政拨款项目支出决算表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_Toc20775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bCs w:val="0"/>
        </w:rPr>
        <w:t>十、</w:t>
      </w:r>
      <w:r>
        <w:rPr>
          <w:rFonts w:hint="eastAsia" w:ascii="黑体" w:hAnsi="黑体" w:eastAsia="黑体" w:cs="黑体"/>
        </w:rPr>
        <w:t>政</w:t>
      </w:r>
      <w:r>
        <w:rPr>
          <w:rFonts w:hint="eastAsia" w:ascii="黑体" w:hAnsi="黑体" w:eastAsia="黑体" w:cs="黑体"/>
          <w:bCs w:val="0"/>
        </w:rPr>
        <w:t>府性基金预算财政拨款收入支出决算表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_Toc14425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bCs w:val="0"/>
        </w:rPr>
        <w:t>十一、</w:t>
      </w:r>
      <w:r>
        <w:rPr>
          <w:rFonts w:hint="eastAsia" w:ascii="黑体" w:hAnsi="黑体" w:eastAsia="黑体" w:cs="黑体"/>
        </w:rPr>
        <w:t>国</w:t>
      </w:r>
      <w:r>
        <w:rPr>
          <w:rFonts w:hint="eastAsia" w:ascii="黑体" w:hAnsi="黑体" w:eastAsia="黑体" w:cs="黑体"/>
          <w:bCs w:val="0"/>
        </w:rPr>
        <w:t>有资本经营预算财政拨款收入支出决算表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_Toc12802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bCs w:val="0"/>
        </w:rPr>
        <w:t>十二、国有资本经营预算财政拨款支出决算表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_Toc25528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p>
    <w:p>
      <w:pPr>
        <w:pStyle w:val="14"/>
        <w:tabs>
          <w:tab w:val="right" w:leader="dot" w:pos="8306"/>
          <w:tab w:val="clear" w:pos="8296"/>
        </w:tabs>
        <w:rPr>
          <w:rFonts w:hint="eastAsia" w:ascii="黑体" w:hAnsi="黑体" w:eastAsia="黑体" w:cs="黑体"/>
        </w:rPr>
      </w:pPr>
      <w:r>
        <w:rPr>
          <w:rFonts w:hint="eastAsia" w:ascii="黑体" w:hAnsi="黑体" w:eastAsia="黑体" w:cs="黑体"/>
          <w:bCs w:val="0"/>
        </w:rPr>
        <w:t>十三、财政拨款“三公”经费支出决算表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_Toc11576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p>
    <w:p>
      <w:pPr>
        <w:widowControl/>
        <w:spacing w:line="440" w:lineRule="exact"/>
        <w:ind w:firstLine="2940" w:firstLineChars="1400"/>
        <w:jc w:val="left"/>
        <w:rPr>
          <w:rStyle w:val="28"/>
          <w:rFonts w:hint="eastAsia" w:ascii="黑体" w:hAnsi="黑体" w:eastAsia="黑体" w:cs="黑体"/>
          <w:b w:val="0"/>
          <w:bCs w:val="0"/>
        </w:rPr>
      </w:pPr>
      <w:r>
        <w:rPr>
          <w:rFonts w:hint="eastAsia" w:ascii="黑体" w:hAnsi="黑体" w:eastAsia="黑体" w:cs="黑体"/>
        </w:rPr>
        <w:fldChar w:fldCharType="end"/>
      </w:r>
    </w:p>
    <w:p>
      <w:pPr>
        <w:widowControl/>
        <w:spacing w:line="440" w:lineRule="exact"/>
        <w:ind w:firstLine="2200" w:firstLineChars="500"/>
        <w:jc w:val="left"/>
        <w:rPr>
          <w:rStyle w:val="28"/>
          <w:rFonts w:hint="eastAsia" w:ascii="黑体" w:hAnsi="黑体" w:eastAsia="黑体"/>
          <w:b w:val="0"/>
          <w:bCs w:val="0"/>
        </w:rPr>
      </w:pPr>
      <w:bookmarkStart w:id="14" w:name="_Toc31056"/>
      <w:bookmarkStart w:id="15" w:name="_Toc15396599"/>
      <w:bookmarkStart w:id="16" w:name="_Toc15377196"/>
    </w:p>
    <w:p>
      <w:pPr>
        <w:widowControl/>
        <w:spacing w:line="440" w:lineRule="exact"/>
        <w:ind w:firstLine="2200" w:firstLineChars="500"/>
        <w:jc w:val="left"/>
        <w:rPr>
          <w:rFonts w:ascii="黑体" w:eastAsia="黑体"/>
          <w:sz w:val="32"/>
          <w:szCs w:val="32"/>
        </w:rPr>
      </w:pPr>
      <w:r>
        <w:rPr>
          <w:rStyle w:val="28"/>
          <w:rFonts w:hint="eastAsia" w:ascii="黑体" w:hAnsi="黑体" w:eastAsia="黑体"/>
          <w:b w:val="0"/>
          <w:bCs w:val="0"/>
        </w:rPr>
        <w:t>第一部分 单位概况</w:t>
      </w:r>
      <w:bookmarkEnd w:id="14"/>
      <w:bookmarkEnd w:id="15"/>
      <w:bookmarkEnd w:id="16"/>
    </w:p>
    <w:p>
      <w:pPr>
        <w:pStyle w:val="11"/>
        <w:spacing w:line="578" w:lineRule="exact"/>
        <w:ind w:firstLine="640" w:firstLineChars="200"/>
        <w:rPr>
          <w:rStyle w:val="29"/>
          <w:rFonts w:hint="eastAsia" w:ascii="黑体" w:hAnsi="黑体" w:eastAsia="黑体"/>
          <w:b w:val="0"/>
          <w:lang w:val="en-US" w:eastAsia="zh-CN" w:bidi="ar-SA"/>
        </w:rPr>
      </w:pPr>
      <w:bookmarkStart w:id="17" w:name="_Toc15377197"/>
      <w:bookmarkStart w:id="18" w:name="_Toc15396600"/>
    </w:p>
    <w:p>
      <w:pPr>
        <w:pStyle w:val="11"/>
        <w:spacing w:line="578" w:lineRule="exact"/>
        <w:ind w:firstLine="640" w:firstLineChars="200"/>
        <w:rPr>
          <w:rStyle w:val="29"/>
          <w:rFonts w:hint="eastAsia" w:ascii="黑体" w:hAnsi="黑体" w:eastAsia="黑体"/>
          <w:b w:val="0"/>
          <w:lang w:val="en-US" w:eastAsia="zh-CN" w:bidi="ar-SA"/>
        </w:rPr>
      </w:pPr>
      <w:r>
        <w:rPr>
          <w:rStyle w:val="29"/>
          <w:rFonts w:hint="eastAsia" w:ascii="黑体" w:hAnsi="黑体" w:eastAsia="黑体"/>
          <w:b w:val="0"/>
          <w:lang w:val="en-US" w:eastAsia="zh-CN" w:bidi="ar-SA"/>
        </w:rPr>
        <w:t>一、部门职责</w:t>
      </w:r>
    </w:p>
    <w:p>
      <w:pPr>
        <w:pStyle w:val="11"/>
        <w:spacing w:line="578" w:lineRule="exact"/>
        <w:ind w:firstLine="643" w:firstLineChars="200"/>
        <w:rPr>
          <w:rFonts w:hint="eastAsia" w:ascii="仿宋" w:hAnsi="仿宋" w:eastAsia="仿宋" w:cs="Times New Roman"/>
          <w:b/>
          <w:bCs/>
          <w:color w:val="auto"/>
          <w:kern w:val="2"/>
          <w:sz w:val="32"/>
          <w:szCs w:val="24"/>
          <w:lang w:val="en-US"/>
        </w:rPr>
      </w:pPr>
      <w:r>
        <w:rPr>
          <w:rFonts w:hint="eastAsia" w:ascii="仿宋" w:hAnsi="仿宋" w:eastAsia="仿宋" w:cs="Times New Roman"/>
          <w:b/>
          <w:bCs/>
          <w:color w:val="auto"/>
          <w:kern w:val="2"/>
          <w:sz w:val="32"/>
          <w:szCs w:val="24"/>
          <w:lang w:val="en-US"/>
        </w:rPr>
        <w:t>（一）为机关提供支持保障的职能</w:t>
      </w:r>
    </w:p>
    <w:p>
      <w:pPr>
        <w:pStyle w:val="11"/>
        <w:spacing w:line="578" w:lineRule="exact"/>
        <w:ind w:firstLine="640" w:firstLineChars="200"/>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贯彻执行国家和省市养老保险、工伤保险相关法律、法规、规章和政策，按照国家有关法律、法规、规章和政策履行社会保险经办工作职责。承担社会保险稽核、领取社会保险待遇资格认证、社会保险基金反欺诈以及社会保险经办体系内部审计工作。</w:t>
      </w:r>
    </w:p>
    <w:p>
      <w:pPr>
        <w:pStyle w:val="11"/>
        <w:spacing w:line="578" w:lineRule="exact"/>
        <w:ind w:firstLine="643" w:firstLineChars="200"/>
        <w:rPr>
          <w:rFonts w:hint="eastAsia" w:ascii="仿宋" w:hAnsi="仿宋" w:eastAsia="仿宋" w:cs="Times New Roman"/>
          <w:b/>
          <w:bCs/>
          <w:color w:val="auto"/>
          <w:kern w:val="2"/>
          <w:sz w:val="32"/>
          <w:szCs w:val="24"/>
          <w:lang w:val="en-US"/>
        </w:rPr>
      </w:pPr>
      <w:r>
        <w:rPr>
          <w:rFonts w:hint="eastAsia" w:ascii="仿宋" w:hAnsi="仿宋" w:eastAsia="仿宋" w:cs="Times New Roman"/>
          <w:b/>
          <w:bCs/>
          <w:color w:val="auto"/>
          <w:kern w:val="2"/>
          <w:sz w:val="32"/>
          <w:szCs w:val="24"/>
          <w:lang w:val="en-US"/>
        </w:rPr>
        <w:t>（二）面向社会提供公益服务的职能</w:t>
      </w:r>
    </w:p>
    <w:p>
      <w:pPr>
        <w:pStyle w:val="11"/>
        <w:spacing w:line="578" w:lineRule="exact"/>
        <w:ind w:firstLine="640" w:firstLineChars="200"/>
        <w:rPr>
          <w:rFonts w:hint="eastAsia" w:ascii="仿宋" w:hAnsi="仿宋" w:eastAsia="仿宋" w:cs="Times New Roman"/>
          <w:color w:val="auto"/>
          <w:kern w:val="2"/>
          <w:sz w:val="32"/>
          <w:szCs w:val="24"/>
          <w:lang w:val="en-US" w:eastAsia="zh-CN"/>
        </w:rPr>
      </w:pPr>
      <w:r>
        <w:rPr>
          <w:rFonts w:hint="eastAsia" w:ascii="仿宋" w:hAnsi="仿宋" w:eastAsia="仿宋" w:cs="Times New Roman"/>
          <w:color w:val="auto"/>
          <w:kern w:val="2"/>
          <w:sz w:val="32"/>
          <w:szCs w:val="24"/>
          <w:lang w:val="en-US"/>
        </w:rPr>
        <w:t>负责全县企业职工基本养老保险、机关事业单位养老保险、工伤保险的参保登记、扩面、人员增减、缴费申报工作。负责全县企业职工基本养老保险、机关事业单位养老保险、工伤保险关系的转移接续工作。负责全县企业职工基本养老保险、机关事业单位养老保险、工伤保险待遇核定、社会化发放及调整工作。负责职工养老保险退休人员社会化管理服务的组织、指导工作</w:t>
      </w:r>
      <w:r>
        <w:rPr>
          <w:rFonts w:hint="eastAsia" w:ascii="仿宋" w:hAnsi="仿宋" w:eastAsia="仿宋" w:cs="Times New Roman"/>
          <w:color w:val="auto"/>
          <w:kern w:val="2"/>
          <w:sz w:val="32"/>
          <w:szCs w:val="24"/>
          <w:lang w:val="en-US" w:eastAsia="zh-CN"/>
        </w:rPr>
        <w:t>。</w:t>
      </w:r>
      <w:bookmarkStart w:id="19" w:name="_Toc572"/>
    </w:p>
    <w:p>
      <w:pPr>
        <w:pStyle w:val="11"/>
        <w:numPr>
          <w:ilvl w:val="0"/>
          <w:numId w:val="1"/>
        </w:numPr>
        <w:spacing w:line="578" w:lineRule="exact"/>
        <w:ind w:firstLine="640" w:firstLineChars="200"/>
        <w:rPr>
          <w:rStyle w:val="29"/>
          <w:rFonts w:hint="eastAsia" w:ascii="黑体" w:hAnsi="黑体" w:eastAsia="黑体"/>
          <w:b w:val="0"/>
          <w:lang w:val="en-US" w:eastAsia="zh-CN" w:bidi="ar-SA"/>
        </w:rPr>
      </w:pPr>
      <w:r>
        <w:rPr>
          <w:rStyle w:val="29"/>
          <w:rFonts w:hint="eastAsia" w:ascii="黑体" w:hAnsi="黑体" w:eastAsia="黑体"/>
          <w:b w:val="0"/>
          <w:lang w:val="en-US" w:eastAsia="zh-CN" w:bidi="ar-SA"/>
        </w:rPr>
        <w:t>机构设置</w:t>
      </w:r>
      <w:bookmarkEnd w:id="19"/>
    </w:p>
    <w:p>
      <w:pPr>
        <w:spacing w:before="93" w:beforeLines="0" w:afterLines="0" w:line="576" w:lineRule="exact"/>
        <w:ind w:firstLine="640"/>
        <w:jc w:val="both"/>
        <w:rPr>
          <w:rFonts w:hint="eastAsia" w:ascii="仿宋" w:hAnsi="仿宋" w:eastAsia="仿宋_GB2312"/>
          <w:color w:val="000000"/>
          <w:kern w:val="2"/>
          <w:sz w:val="32"/>
          <w:szCs w:val="24"/>
          <w:lang w:val="en-US" w:eastAsia="zh-CN"/>
        </w:rPr>
      </w:pPr>
      <w:r>
        <w:rPr>
          <w:rFonts w:hint="eastAsia" w:ascii="仿宋_GB2312" w:hAnsi="仿宋_GB2312" w:eastAsia="仿宋_GB2312"/>
          <w:color w:val="auto"/>
          <w:kern w:val="2"/>
          <w:sz w:val="32"/>
          <w:szCs w:val="24"/>
          <w:lang w:val="zh-CN"/>
        </w:rPr>
        <w:t>泸县社会保险事业管理局是隶属于泸县人力资源和社会保障局的一级预算单位，为全额拨款的参公事业单位，内设机构</w:t>
      </w:r>
      <w:r>
        <w:rPr>
          <w:rFonts w:hint="eastAsia" w:ascii="仿宋_GB2312" w:hAnsi="仿宋_GB2312" w:eastAsia="仿宋_GB2312"/>
          <w:color w:val="auto"/>
          <w:kern w:val="2"/>
          <w:sz w:val="32"/>
          <w:szCs w:val="24"/>
          <w:lang w:val="en-US" w:eastAsia="zh-CN"/>
        </w:rPr>
        <w:t>8个，分别是办公室、基金管理股、审计监督股、机关事业单位养老保险管理股、退休人员管理股、综合业务一股、综合业务二股、综合业务审核股。</w:t>
      </w:r>
    </w:p>
    <w:p>
      <w:pPr>
        <w:pStyle w:val="11"/>
        <w:numPr>
          <w:ilvl w:val="0"/>
          <w:numId w:val="0"/>
        </w:numPr>
        <w:spacing w:line="578" w:lineRule="exact"/>
        <w:rPr>
          <w:rStyle w:val="29"/>
          <w:rFonts w:hint="eastAsia" w:ascii="黑体" w:hAnsi="黑体" w:eastAsia="黑体"/>
          <w:b w:val="0"/>
          <w:lang w:val="en-US" w:eastAsia="zh-CN" w:bidi="ar-SA"/>
        </w:rPr>
      </w:pPr>
    </w:p>
    <w:bookmarkEnd w:id="17"/>
    <w:bookmarkEnd w:id="18"/>
    <w:p>
      <w:pPr>
        <w:widowControl/>
        <w:ind w:firstLine="440" w:firstLineChars="100"/>
        <w:jc w:val="left"/>
        <w:rPr>
          <w:rStyle w:val="28"/>
          <w:rFonts w:ascii="黑体" w:hAnsi="黑体" w:eastAsia="黑体"/>
          <w:b w:val="0"/>
          <w:bCs/>
        </w:rPr>
      </w:pPr>
      <w:bookmarkStart w:id="20" w:name="_Toc15396602"/>
      <w:bookmarkStart w:id="21" w:name="_Toc15377204"/>
      <w:bookmarkStart w:id="22" w:name="_Toc28104"/>
      <w:r>
        <w:rPr>
          <w:rStyle w:val="28"/>
          <w:rFonts w:hint="eastAsia" w:ascii="黑体" w:hAnsi="黑体" w:eastAsia="黑体" w:cs="Times New Roman"/>
          <w:b w:val="0"/>
          <w:bCs/>
        </w:rPr>
        <w:t>第二部分 2023年度单</w:t>
      </w:r>
      <w:r>
        <w:rPr>
          <w:rStyle w:val="28"/>
          <w:rFonts w:hint="eastAsia" w:ascii="黑体" w:hAnsi="黑体" w:eastAsia="黑体"/>
          <w:b w:val="0"/>
          <w:bCs/>
        </w:rPr>
        <w:t>位决算情况说明</w:t>
      </w:r>
      <w:bookmarkEnd w:id="20"/>
      <w:bookmarkEnd w:id="21"/>
      <w:bookmarkEnd w:id="22"/>
    </w:p>
    <w:p/>
    <w:p>
      <w:pPr>
        <w:pStyle w:val="27"/>
        <w:numPr>
          <w:ilvl w:val="0"/>
          <w:numId w:val="2"/>
        </w:numPr>
        <w:spacing w:line="600" w:lineRule="exact"/>
        <w:ind w:firstLineChars="0"/>
        <w:outlineLvl w:val="1"/>
        <w:rPr>
          <w:rStyle w:val="29"/>
          <w:rFonts w:ascii="黑体" w:hAnsi="黑体" w:eastAsia="黑体"/>
          <w:b w:val="0"/>
        </w:rPr>
      </w:pPr>
      <w:bookmarkStart w:id="23" w:name="_Toc15377205"/>
      <w:bookmarkStart w:id="24" w:name="_Toc29931"/>
      <w:bookmarkStart w:id="25"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23"/>
      <w:bookmarkEnd w:id="24"/>
      <w:bookmarkEnd w:id="25"/>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1317.69</w:t>
      </w:r>
      <w:r>
        <w:rPr>
          <w:rFonts w:hint="eastAsia" w:ascii="仿宋" w:hAnsi="仿宋" w:eastAsia="仿宋"/>
          <w:sz w:val="32"/>
          <w:szCs w:val="32"/>
        </w:rPr>
        <w:t>万元。与2022年度相比，收、支总计各减少76.17万元，下降1.89</w:t>
      </w:r>
      <w:r>
        <w:rPr>
          <w:rFonts w:ascii="仿宋" w:hAnsi="仿宋" w:eastAsia="仿宋"/>
          <w:sz w:val="32"/>
          <w:szCs w:val="32"/>
        </w:rPr>
        <w:t>%</w:t>
      </w:r>
      <w:r>
        <w:rPr>
          <w:rFonts w:hint="eastAsia" w:ascii="仿宋" w:hAnsi="仿宋" w:eastAsia="仿宋"/>
          <w:sz w:val="32"/>
          <w:szCs w:val="32"/>
        </w:rPr>
        <w:t>。主要变动原因是项目经费减少。</w:t>
      </w:r>
    </w:p>
    <w:p>
      <w:pPr>
        <w:pStyle w:val="19"/>
      </w:pPr>
      <w:r>
        <w:drawing>
          <wp:inline distT="0" distB="0" distL="114300" distR="114300">
            <wp:extent cx="4815840" cy="2188210"/>
            <wp:effectExtent l="4445" t="5080" r="5715" b="16510"/>
            <wp:docPr id="105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eastAsia="zh-CN"/>
        </w:rPr>
        <w:t>收、支决算总计变动情况图</w:t>
      </w:r>
      <w:r>
        <w:rPr>
          <w:rFonts w:hint="eastAsia" w:ascii="仿宋" w:hAnsi="仿宋" w:eastAsia="仿宋"/>
          <w:sz w:val="32"/>
          <w:szCs w:val="32"/>
        </w:rPr>
        <w:t>）（</w:t>
      </w:r>
      <w:r>
        <w:rPr>
          <w:rFonts w:hint="eastAsia" w:ascii="仿宋" w:hAnsi="仿宋" w:eastAsia="仿宋"/>
          <w:sz w:val="32"/>
          <w:szCs w:val="32"/>
          <w:lang w:eastAsia="zh-CN"/>
        </w:rPr>
        <w:t>柱状图</w:t>
      </w:r>
      <w:r>
        <w:rPr>
          <w:rFonts w:hint="eastAsia" w:ascii="仿宋" w:hAnsi="仿宋" w:eastAsia="仿宋"/>
          <w:sz w:val="32"/>
          <w:szCs w:val="32"/>
        </w:rPr>
        <w:t>）</w:t>
      </w:r>
    </w:p>
    <w:p/>
    <w:p>
      <w:pPr>
        <w:rPr>
          <w:rFonts w:hint="default" w:eastAsia="宋体"/>
          <w:lang w:val="en-US" w:eastAsia="zh-CN"/>
        </w:rPr>
      </w:pPr>
    </w:p>
    <w:p>
      <w:pPr>
        <w:pStyle w:val="27"/>
        <w:numPr>
          <w:ilvl w:val="0"/>
          <w:numId w:val="2"/>
        </w:numPr>
        <w:spacing w:line="600" w:lineRule="exact"/>
        <w:ind w:firstLineChars="0"/>
        <w:outlineLvl w:val="1"/>
        <w:rPr>
          <w:rStyle w:val="29"/>
          <w:rFonts w:ascii="黑体" w:hAnsi="黑体" w:eastAsia="黑体"/>
          <w:b w:val="0"/>
        </w:rPr>
      </w:pPr>
      <w:bookmarkStart w:id="26" w:name="_Toc15377206"/>
      <w:bookmarkStart w:id="27" w:name="_Toc14750"/>
      <w:bookmarkStart w:id="28" w:name="_Toc15396604"/>
      <w:r>
        <w:rPr>
          <w:rFonts w:hint="eastAsia" w:ascii="黑体" w:hAnsi="黑体" w:eastAsia="黑体"/>
          <w:sz w:val="32"/>
          <w:szCs w:val="32"/>
        </w:rPr>
        <w:t>收</w:t>
      </w:r>
      <w:r>
        <w:rPr>
          <w:rStyle w:val="29"/>
          <w:rFonts w:hint="eastAsia" w:ascii="黑体" w:hAnsi="黑体" w:eastAsia="黑体"/>
          <w:b w:val="0"/>
        </w:rPr>
        <w:t>入决算情况说明</w:t>
      </w:r>
      <w:bookmarkEnd w:id="26"/>
      <w:bookmarkEnd w:id="27"/>
      <w:bookmarkEnd w:id="28"/>
    </w:p>
    <w:p>
      <w:pPr>
        <w:spacing w:line="600" w:lineRule="exact"/>
        <w:ind w:firstLine="640" w:firstLineChars="200"/>
        <w:outlineLvl w:val="1"/>
        <w:rPr>
          <w:rFonts w:hint="eastAsia" w:ascii="仿宋" w:hAnsi="仿宋" w:eastAsia="仿宋"/>
          <w:sz w:val="32"/>
          <w:szCs w:val="32"/>
          <w:lang w:val="en-US" w:eastAsia="zh-CN"/>
        </w:rPr>
      </w:pPr>
      <w:bookmarkStart w:id="29" w:name="_Toc30437"/>
      <w:r>
        <w:rPr>
          <w:rFonts w:hint="eastAsia" w:ascii="仿宋" w:hAnsi="仿宋" w:eastAsia="仿宋"/>
          <w:sz w:val="32"/>
          <w:szCs w:val="32"/>
        </w:rPr>
        <w:t>2023年度本年收入合计</w:t>
      </w:r>
      <w:r>
        <w:rPr>
          <w:rFonts w:ascii="仿宋" w:hAnsi="仿宋" w:eastAsia="仿宋"/>
          <w:b/>
          <w:sz w:val="32"/>
          <w:szCs w:val="32"/>
        </w:rPr>
        <w:t>1317.69</w:t>
      </w:r>
      <w:r>
        <w:rPr>
          <w:rFonts w:hint="eastAsia" w:ascii="仿宋" w:hAnsi="仿宋" w:eastAsia="仿宋"/>
          <w:sz w:val="32"/>
          <w:szCs w:val="32"/>
        </w:rPr>
        <w:t>万元，其中：一般公共预算财政拨款收入</w:t>
      </w:r>
      <w:r>
        <w:rPr>
          <w:rFonts w:ascii="仿宋" w:hAnsi="仿宋" w:eastAsia="仿宋"/>
          <w:b/>
          <w:sz w:val="32"/>
          <w:szCs w:val="32"/>
        </w:rPr>
        <w:t>1317.69</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bookmarkEnd w:id="29"/>
      <w:r>
        <w:rPr>
          <w:rFonts w:hint="eastAsia" w:ascii="仿宋" w:hAnsi="仿宋" w:eastAsia="仿宋"/>
          <w:sz w:val="32"/>
          <w:szCs w:val="32"/>
          <w:lang w:eastAsia="zh-CN"/>
        </w:rPr>
        <w:t>。</w:t>
      </w:r>
    </w:p>
    <w:p>
      <w:pPr>
        <w:spacing w:line="600" w:lineRule="exact"/>
        <w:ind w:firstLine="420" w:firstLineChars="200"/>
        <w:outlineLvl w:val="1"/>
        <w:rPr>
          <w:rFonts w:ascii="仿宋" w:hAnsi="仿宋" w:eastAsia="仿宋"/>
          <w:b/>
          <w:sz w:val="32"/>
          <w:szCs w:val="32"/>
        </w:rPr>
      </w:pPr>
      <w:bookmarkStart w:id="30" w:name="_Toc4064"/>
      <w:r>
        <w:drawing>
          <wp:anchor distT="0" distB="0" distL="114300" distR="114300" simplePos="0" relativeHeight="251660288" behindDoc="0" locked="0" layoutInCell="1" allowOverlap="1">
            <wp:simplePos x="0" y="0"/>
            <wp:positionH relativeFrom="column">
              <wp:posOffset>652145</wp:posOffset>
            </wp:positionH>
            <wp:positionV relativeFrom="paragraph">
              <wp:posOffset>762000</wp:posOffset>
            </wp:positionV>
            <wp:extent cx="3752215" cy="1759585"/>
            <wp:effectExtent l="4445" t="4445" r="15240" b="13970"/>
            <wp:wrapTopAndBottom/>
            <wp:docPr id="105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End w:id="30"/>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7"/>
        <w:numPr>
          <w:ilvl w:val="0"/>
          <w:numId w:val="2"/>
        </w:numPr>
        <w:spacing w:line="600" w:lineRule="exact"/>
        <w:ind w:firstLineChars="0"/>
        <w:outlineLvl w:val="1"/>
        <w:rPr>
          <w:rStyle w:val="29"/>
          <w:rFonts w:ascii="黑体" w:hAnsi="黑体" w:eastAsia="黑体"/>
          <w:b w:val="0"/>
        </w:rPr>
      </w:pPr>
      <w:bookmarkStart w:id="31" w:name="_Toc15377207"/>
      <w:bookmarkStart w:id="32" w:name="_Toc14766"/>
      <w:bookmarkStart w:id="33" w:name="_Toc15396605"/>
      <w:r>
        <w:rPr>
          <w:rFonts w:hint="eastAsia" w:ascii="黑体" w:hAnsi="黑体" w:eastAsia="黑体"/>
          <w:sz w:val="32"/>
          <w:szCs w:val="32"/>
        </w:rPr>
        <w:t>支</w:t>
      </w:r>
      <w:r>
        <w:rPr>
          <w:rStyle w:val="29"/>
          <w:rFonts w:hint="eastAsia" w:ascii="黑体" w:hAnsi="黑体" w:eastAsia="黑体"/>
          <w:b w:val="0"/>
        </w:rPr>
        <w:t>出决算情况说明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26739"/>
      <w:r>
        <w:rPr>
          <w:rFonts w:hint="eastAsia" w:ascii="仿宋" w:hAnsi="仿宋" w:eastAsia="仿宋"/>
          <w:sz w:val="32"/>
          <w:szCs w:val="32"/>
        </w:rPr>
        <w:t>2023年度本年支出合计</w:t>
      </w:r>
      <w:r>
        <w:rPr>
          <w:rFonts w:ascii="仿宋" w:hAnsi="仿宋" w:eastAsia="仿宋"/>
          <w:b/>
          <w:sz w:val="32"/>
          <w:szCs w:val="32"/>
        </w:rPr>
        <w:t>1317.69</w:t>
      </w:r>
      <w:r>
        <w:rPr>
          <w:rFonts w:hint="eastAsia" w:ascii="仿宋" w:hAnsi="仿宋" w:eastAsia="仿宋"/>
          <w:sz w:val="32"/>
          <w:szCs w:val="32"/>
        </w:rPr>
        <w:t>万元，其中：基本支出</w:t>
      </w:r>
      <w:r>
        <w:rPr>
          <w:rFonts w:ascii="仿宋" w:hAnsi="仿宋" w:eastAsia="仿宋"/>
          <w:b/>
          <w:sz w:val="32"/>
          <w:szCs w:val="32"/>
        </w:rPr>
        <w:t>794.26</w:t>
      </w:r>
      <w:r>
        <w:rPr>
          <w:rFonts w:hint="eastAsia" w:ascii="仿宋" w:hAnsi="仿宋" w:eastAsia="仿宋"/>
          <w:sz w:val="32"/>
          <w:szCs w:val="32"/>
        </w:rPr>
        <w:t>万元，占</w:t>
      </w:r>
      <w:r>
        <w:rPr>
          <w:rFonts w:ascii="仿宋" w:hAnsi="仿宋" w:eastAsia="仿宋"/>
          <w:b/>
          <w:sz w:val="32"/>
          <w:szCs w:val="32"/>
        </w:rPr>
        <w:t>60.2</w:t>
      </w:r>
      <w:r>
        <w:rPr>
          <w:rFonts w:hint="eastAsia" w:ascii="仿宋" w:hAnsi="仿宋" w:eastAsia="仿宋"/>
          <w:b/>
          <w:sz w:val="32"/>
          <w:szCs w:val="32"/>
          <w:lang w:val="en-US" w:eastAsia="zh-CN"/>
        </w:rPr>
        <w:t>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523.43</w:t>
      </w:r>
      <w:r>
        <w:rPr>
          <w:rFonts w:hint="eastAsia" w:ascii="仿宋" w:hAnsi="仿宋" w:eastAsia="仿宋"/>
          <w:sz w:val="32"/>
          <w:szCs w:val="32"/>
        </w:rPr>
        <w:t>万元，占</w:t>
      </w:r>
      <w:r>
        <w:rPr>
          <w:rFonts w:ascii="仿宋" w:hAnsi="仿宋" w:eastAsia="仿宋"/>
          <w:b/>
          <w:sz w:val="32"/>
          <w:szCs w:val="32"/>
        </w:rPr>
        <w:t>39.72</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bookmarkEnd w:id="34"/>
    </w:p>
    <w:p>
      <w:pPr>
        <w:spacing w:line="600" w:lineRule="exact"/>
        <w:ind w:firstLine="420" w:firstLineChars="200"/>
        <w:outlineLvl w:val="1"/>
        <w:rPr>
          <w:rFonts w:ascii="仿宋" w:hAnsi="仿宋" w:eastAsia="仿宋"/>
          <w:sz w:val="32"/>
          <w:szCs w:val="32"/>
          <w:shd w:val="pct10" w:color="auto" w:fill="FFFFFF"/>
        </w:rPr>
      </w:pPr>
      <w:bookmarkStart w:id="35" w:name="_Toc30788"/>
      <w:r>
        <w:drawing>
          <wp:anchor distT="0" distB="0" distL="114300" distR="114300" simplePos="0" relativeHeight="251661312" behindDoc="0" locked="0" layoutInCell="1" allowOverlap="1">
            <wp:simplePos x="0" y="0"/>
            <wp:positionH relativeFrom="column">
              <wp:posOffset>688975</wp:posOffset>
            </wp:positionH>
            <wp:positionV relativeFrom="paragraph">
              <wp:posOffset>718820</wp:posOffset>
            </wp:positionV>
            <wp:extent cx="3844290" cy="1689100"/>
            <wp:effectExtent l="4445" t="4445" r="12065" b="8255"/>
            <wp:wrapTopAndBottom/>
            <wp:docPr id="1054" name="图表 4"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End w:id="35"/>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9"/>
          <w:rFonts w:ascii="黑体" w:hAnsi="黑体" w:eastAsia="黑体"/>
          <w:b w:val="0"/>
        </w:rPr>
      </w:pPr>
      <w:bookmarkStart w:id="36" w:name="_Toc21093"/>
      <w:bookmarkStart w:id="37" w:name="_Toc15396606"/>
      <w:bookmarkStart w:id="38"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6"/>
      <w:bookmarkEnd w:id="37"/>
      <w:bookmarkEnd w:id="38"/>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ascii="仿宋" w:hAnsi="仿宋" w:eastAsia="仿宋"/>
          <w:b/>
          <w:sz w:val="32"/>
          <w:szCs w:val="32"/>
        </w:rPr>
        <w:t>1317.69</w:t>
      </w:r>
      <w:r>
        <w:rPr>
          <w:rFonts w:hint="eastAsia" w:ascii="仿宋" w:hAnsi="仿宋" w:eastAsia="仿宋"/>
          <w:sz w:val="32"/>
          <w:szCs w:val="32"/>
        </w:rPr>
        <w:t>万元。与2022年度相比，收、支总计各减少76.17万元，下降1.89</w:t>
      </w:r>
      <w:r>
        <w:rPr>
          <w:rFonts w:ascii="仿宋" w:hAnsi="仿宋" w:eastAsia="仿宋"/>
          <w:sz w:val="32"/>
          <w:szCs w:val="32"/>
        </w:rPr>
        <w:t>%</w:t>
      </w:r>
      <w:r>
        <w:rPr>
          <w:rFonts w:hint="eastAsia" w:ascii="仿宋" w:hAnsi="仿宋" w:eastAsia="仿宋"/>
          <w:sz w:val="32"/>
          <w:szCs w:val="32"/>
        </w:rPr>
        <w:t>。主要变动原因是项目经费的减少</w:t>
      </w:r>
      <w:r>
        <w:rPr>
          <w:rFonts w:hint="eastAsia" w:ascii="仿宋" w:hAnsi="仿宋" w:eastAsia="仿宋"/>
          <w:sz w:val="32"/>
          <w:szCs w:val="32"/>
          <w:lang w:eastAsia="zh-CN"/>
        </w:rPr>
        <w:t>。</w:t>
      </w:r>
    </w:p>
    <w:p>
      <w:pPr>
        <w:spacing w:line="600" w:lineRule="exact"/>
        <w:ind w:firstLine="640"/>
        <w:rPr>
          <w:rFonts w:ascii="仿宋" w:hAnsi="仿宋" w:eastAsia="仿宋"/>
          <w:b/>
          <w:sz w:val="32"/>
          <w:szCs w:val="32"/>
        </w:rPr>
      </w:pPr>
      <w:r>
        <w:drawing>
          <wp:anchor distT="0" distB="0" distL="114300" distR="114300" simplePos="0" relativeHeight="251662336" behindDoc="0" locked="0" layoutInCell="1" allowOverlap="1">
            <wp:simplePos x="0" y="0"/>
            <wp:positionH relativeFrom="column">
              <wp:posOffset>410210</wp:posOffset>
            </wp:positionH>
            <wp:positionV relativeFrom="paragraph">
              <wp:posOffset>457835</wp:posOffset>
            </wp:positionV>
            <wp:extent cx="4211320" cy="1727200"/>
            <wp:effectExtent l="5080" t="5080" r="12700" b="7620"/>
            <wp:wrapTopAndBottom/>
            <wp:docPr id="105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39" w:name="_Toc15396607"/>
      <w:bookmarkStart w:id="40" w:name="_Toc15377209"/>
      <w:bookmarkStart w:id="41" w:name="_Toc19830"/>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9"/>
      <w:bookmarkEnd w:id="40"/>
      <w:bookmarkEnd w:id="41"/>
    </w:p>
    <w:p>
      <w:pPr>
        <w:spacing w:line="600" w:lineRule="exact"/>
        <w:ind w:firstLine="643" w:firstLineChars="200"/>
        <w:outlineLvl w:val="2"/>
        <w:rPr>
          <w:rFonts w:ascii="仿宋" w:hAnsi="仿宋" w:eastAsia="仿宋"/>
          <w:b/>
          <w:sz w:val="32"/>
          <w:szCs w:val="32"/>
        </w:rPr>
      </w:pPr>
      <w:bookmarkStart w:id="42" w:name="_Toc15377210"/>
      <w:r>
        <w:rPr>
          <w:rFonts w:hint="eastAsia" w:ascii="仿宋" w:hAnsi="仿宋" w:eastAsia="仿宋"/>
          <w:b/>
          <w:sz w:val="32"/>
          <w:szCs w:val="32"/>
        </w:rPr>
        <w:t>（一）一般公共预算财政拨款支出决算总体情况</w:t>
      </w:r>
      <w:bookmarkEnd w:id="42"/>
    </w:p>
    <w:p>
      <w:pPr>
        <w:spacing w:line="600" w:lineRule="exact"/>
        <w:ind w:firstLine="420" w:firstLineChars="200"/>
        <w:rPr>
          <w:rFonts w:hint="eastAsia" w:ascii="仿宋" w:hAnsi="仿宋" w:eastAsia="仿宋"/>
          <w:sz w:val="32"/>
          <w:szCs w:val="32"/>
          <w:lang w:eastAsia="zh-CN"/>
        </w:rPr>
      </w:pPr>
      <w:r>
        <w:drawing>
          <wp:anchor distT="0" distB="0" distL="114300" distR="114300" simplePos="0" relativeHeight="251663360" behindDoc="0" locked="0" layoutInCell="1" allowOverlap="1">
            <wp:simplePos x="0" y="0"/>
            <wp:positionH relativeFrom="column">
              <wp:posOffset>882015</wp:posOffset>
            </wp:positionH>
            <wp:positionV relativeFrom="paragraph">
              <wp:posOffset>1537335</wp:posOffset>
            </wp:positionV>
            <wp:extent cx="3355340" cy="1926590"/>
            <wp:effectExtent l="5080" t="5080" r="5080" b="1143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rPr>
        <w:t>2023年度一般公共预算财政拨款支出</w:t>
      </w:r>
      <w:r>
        <w:rPr>
          <w:rFonts w:ascii="仿宋" w:hAnsi="仿宋" w:eastAsia="仿宋"/>
          <w:b/>
          <w:sz w:val="32"/>
          <w:szCs w:val="32"/>
        </w:rPr>
        <w:t>1317.69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。与2022年度相比，收、支总计各减少76.17万元，下降1.89</w:t>
      </w:r>
      <w:r>
        <w:rPr>
          <w:rFonts w:ascii="仿宋" w:hAnsi="仿宋" w:eastAsia="仿宋"/>
          <w:sz w:val="32"/>
          <w:szCs w:val="32"/>
        </w:rPr>
        <w:t>%</w:t>
      </w:r>
      <w:r>
        <w:rPr>
          <w:rFonts w:hint="eastAsia" w:ascii="仿宋" w:hAnsi="仿宋" w:eastAsia="仿宋"/>
          <w:sz w:val="32"/>
          <w:szCs w:val="32"/>
        </w:rPr>
        <w:t>。主要变动原因是项目经费的减少</w:t>
      </w:r>
      <w:r>
        <w:rPr>
          <w:rFonts w:hint="eastAsia" w:ascii="仿宋" w:hAnsi="仿宋" w:eastAsia="仿宋"/>
          <w:sz w:val="32"/>
          <w:szCs w:val="32"/>
          <w:lang w:eastAsia="zh-CN"/>
        </w:rPr>
        <w:t>。</w:t>
      </w: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3" w:name="_Toc15377211"/>
      <w:r>
        <w:rPr>
          <w:rFonts w:hint="eastAsia" w:ascii="仿宋" w:hAnsi="仿宋" w:eastAsia="仿宋"/>
          <w:b/>
          <w:sz w:val="32"/>
          <w:szCs w:val="32"/>
        </w:rPr>
        <w:t>（二）一般公共预算财政拨款支出决算结构情况</w:t>
      </w:r>
      <w:bookmarkEnd w:id="43"/>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2023年度一般公共预算财政拨款支出1317.69万元，主要用于以下方面</w:t>
      </w:r>
      <w:r>
        <w:rPr>
          <w:rFonts w:ascii="仿宋" w:hAnsi="仿宋" w:eastAsia="仿宋"/>
          <w:sz w:val="32"/>
          <w:szCs w:val="32"/>
        </w:rPr>
        <w:t>:</w:t>
      </w:r>
      <w:r>
        <w:rPr>
          <w:rFonts w:hint="eastAsia" w:ascii="仿宋" w:hAnsi="仿宋" w:eastAsia="仿宋"/>
          <w:sz w:val="32"/>
          <w:szCs w:val="32"/>
        </w:rPr>
        <w:t>社会保障和就业支出1241.31万元，占94.2%</w:t>
      </w:r>
      <w:r>
        <w:rPr>
          <w:rFonts w:hint="eastAsia" w:ascii="仿宋" w:hAnsi="仿宋" w:eastAsia="仿宋"/>
          <w:sz w:val="32"/>
          <w:szCs w:val="32"/>
          <w:lang w:eastAsia="zh-CN"/>
        </w:rPr>
        <w:t>，</w:t>
      </w:r>
      <w:r>
        <w:rPr>
          <w:rFonts w:hint="eastAsia" w:ascii="仿宋" w:hAnsi="仿宋" w:eastAsia="仿宋"/>
          <w:sz w:val="32"/>
          <w:szCs w:val="32"/>
        </w:rPr>
        <w:t>完成预算100%</w:t>
      </w:r>
      <w:r>
        <w:rPr>
          <w:rFonts w:hint="eastAsia" w:ascii="仿宋" w:hAnsi="仿宋" w:eastAsia="仿宋"/>
          <w:sz w:val="32"/>
          <w:szCs w:val="32"/>
          <w:lang w:eastAsia="zh-CN"/>
        </w:rPr>
        <w:t>，</w:t>
      </w:r>
      <w:r>
        <w:rPr>
          <w:rFonts w:hint="eastAsia" w:ascii="仿宋" w:hAnsi="仿宋" w:eastAsia="仿宋"/>
          <w:sz w:val="32"/>
          <w:szCs w:val="32"/>
        </w:rPr>
        <w:t>决算数与预算数一致。卫生健康支出26.28万元，占2.0%</w:t>
      </w:r>
      <w:r>
        <w:rPr>
          <w:rFonts w:hint="eastAsia" w:ascii="仿宋" w:hAnsi="仿宋" w:eastAsia="仿宋"/>
          <w:sz w:val="32"/>
          <w:szCs w:val="32"/>
          <w:lang w:eastAsia="zh-CN"/>
        </w:rPr>
        <w:t>，</w:t>
      </w:r>
      <w:r>
        <w:rPr>
          <w:rFonts w:hint="eastAsia" w:ascii="仿宋" w:hAnsi="仿宋" w:eastAsia="仿宋"/>
          <w:sz w:val="32"/>
          <w:szCs w:val="32"/>
        </w:rPr>
        <w:t>完成预算100%，决算数与预算数一致</w:t>
      </w:r>
      <w:r>
        <w:rPr>
          <w:rFonts w:hint="eastAsia" w:ascii="仿宋" w:hAnsi="仿宋" w:eastAsia="仿宋"/>
          <w:sz w:val="32"/>
          <w:szCs w:val="32"/>
          <w:lang w:eastAsia="zh-CN"/>
        </w:rPr>
        <w:t>。</w:t>
      </w:r>
      <w:r>
        <w:rPr>
          <w:rFonts w:hint="eastAsia" w:ascii="仿宋" w:hAnsi="仿宋" w:eastAsia="仿宋"/>
          <w:sz w:val="32"/>
          <w:szCs w:val="32"/>
        </w:rPr>
        <w:t>住房保障支出50.1万元，占3.8%</w:t>
      </w:r>
      <w:r>
        <w:rPr>
          <w:rFonts w:hint="eastAsia" w:ascii="仿宋" w:hAnsi="仿宋" w:eastAsia="仿宋"/>
          <w:sz w:val="32"/>
          <w:szCs w:val="32"/>
          <w:lang w:eastAsia="zh-CN"/>
        </w:rPr>
        <w:t>，</w:t>
      </w:r>
      <w:r>
        <w:rPr>
          <w:rFonts w:hint="eastAsia" w:ascii="仿宋" w:hAnsi="仿宋" w:eastAsia="仿宋"/>
          <w:sz w:val="32"/>
          <w:szCs w:val="32"/>
        </w:rPr>
        <w:t>完成预算100%</w:t>
      </w:r>
      <w:r>
        <w:rPr>
          <w:rFonts w:hint="eastAsia" w:ascii="仿宋" w:hAnsi="仿宋" w:eastAsia="仿宋"/>
          <w:sz w:val="32"/>
          <w:szCs w:val="32"/>
          <w:lang w:eastAsia="zh-CN"/>
        </w:rPr>
        <w:t>，</w:t>
      </w:r>
      <w:r>
        <w:rPr>
          <w:rFonts w:hint="eastAsia" w:ascii="仿宋" w:hAnsi="仿宋" w:eastAsia="仿宋"/>
          <w:sz w:val="32"/>
          <w:szCs w:val="32"/>
        </w:rPr>
        <w:t>决算数与预算数一致</w:t>
      </w:r>
      <w:r>
        <w:rPr>
          <w:rFonts w:hint="eastAsia" w:ascii="仿宋" w:hAnsi="仿宋" w:eastAsia="仿宋"/>
          <w:sz w:val="32"/>
          <w:szCs w:val="32"/>
          <w:lang w:eastAsia="zh-CN"/>
        </w:rPr>
        <w:t>。</w:t>
      </w:r>
    </w:p>
    <w:p>
      <w:pPr>
        <w:keepNext w:val="0"/>
        <w:keepLines w:val="0"/>
        <w:widowControl/>
        <w:numPr>
          <w:ilvl w:val="0"/>
          <w:numId w:val="0"/>
        </w:numPr>
        <w:suppressLineNumbers w:val="0"/>
        <w:pBdr>
          <w:left w:val="none" w:color="auto" w:sz="0" w:space="0"/>
        </w:pBdr>
        <w:spacing w:before="0" w:beforeAutospacing="1" w:after="0" w:afterAutospacing="1"/>
        <w:jc w:val="left"/>
        <w:rPr>
          <w:rFonts w:ascii="仿宋" w:hAnsi="仿宋" w:eastAsia="仿宋"/>
          <w:b/>
          <w:sz w:val="32"/>
          <w:szCs w:val="32"/>
        </w:rPr>
      </w:pPr>
      <w:r>
        <w:drawing>
          <wp:anchor distT="0" distB="0" distL="114300" distR="114300" simplePos="0" relativeHeight="251664384" behindDoc="0" locked="0" layoutInCell="1" allowOverlap="1">
            <wp:simplePos x="0" y="0"/>
            <wp:positionH relativeFrom="column">
              <wp:posOffset>433705</wp:posOffset>
            </wp:positionH>
            <wp:positionV relativeFrom="paragraph">
              <wp:posOffset>1353185</wp:posOffset>
            </wp:positionV>
            <wp:extent cx="4822825" cy="2746375"/>
            <wp:effectExtent l="4445" t="5080" r="11430" b="444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4" w:name="_Toc15377212"/>
      <w:r>
        <w:rPr>
          <w:rFonts w:hint="eastAsia" w:ascii="仿宋" w:hAnsi="仿宋" w:eastAsia="仿宋"/>
          <w:b/>
          <w:sz w:val="32"/>
          <w:szCs w:val="32"/>
        </w:rPr>
        <w:t>（三）一般公共预算财政拨款支出决算具体情况</w:t>
      </w:r>
      <w:bookmarkEnd w:id="44"/>
    </w:p>
    <w:p>
      <w:pPr>
        <w:spacing w:line="600" w:lineRule="exact"/>
        <w:ind w:firstLine="643" w:firstLineChars="200"/>
        <w:outlineLvl w:val="2"/>
        <w:rPr>
          <w:rStyle w:val="17"/>
          <w:rFonts w:hint="eastAsia" w:ascii="仿宋" w:hAnsi="仿宋" w:eastAsia="仿宋"/>
          <w:bCs/>
          <w:sz w:val="32"/>
          <w:szCs w:val="32"/>
        </w:rPr>
      </w:pPr>
      <w:bookmarkStart w:id="45" w:name="_Toc15378460"/>
      <w:bookmarkStart w:id="46" w:name="_Toc15377213"/>
      <w:bookmarkStart w:id="47" w:name="_Toc15377444"/>
      <w:r>
        <w:rPr>
          <w:rFonts w:hint="eastAsia" w:ascii="仿宋" w:hAnsi="仿宋" w:eastAsia="仿宋"/>
          <w:b/>
          <w:sz w:val="32"/>
          <w:szCs w:val="32"/>
        </w:rPr>
        <w:t>2023年度一般公共预算支出决算数为</w:t>
      </w:r>
      <w:r>
        <w:rPr>
          <w:rFonts w:ascii="仿宋" w:hAnsi="仿宋" w:eastAsia="仿宋"/>
          <w:b/>
          <w:sz w:val="32"/>
          <w:szCs w:val="32"/>
        </w:rPr>
        <w:t>1317.69</w:t>
      </w:r>
      <w:r>
        <w:rPr>
          <w:rFonts w:hint="eastAsia" w:ascii="仿宋" w:hAnsi="仿宋" w:eastAsia="仿宋"/>
          <w:b/>
          <w:sz w:val="32"/>
          <w:szCs w:val="32"/>
          <w:lang w:eastAsia="zh-CN"/>
        </w:rPr>
        <w:t>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45"/>
      <w:bookmarkEnd w:id="46"/>
      <w:bookmarkEnd w:id="47"/>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社会保障和就业（类）人力资源和社会保障管理事务（款）社会保险经办机构（项）：支出决算 765.03 万元。</w:t>
      </w:r>
      <w:r>
        <w:rPr>
          <w:rFonts w:hint="eastAsia" w:ascii="仿宋" w:hAnsi="仿宋" w:eastAsia="仿宋"/>
          <w:sz w:val="32"/>
          <w:szCs w:val="32"/>
          <w:lang w:val="en-US" w:eastAsia="zh-CN"/>
        </w:rPr>
        <w:t>完成预算100%，决算数与预算数一致。</w:t>
      </w:r>
    </w:p>
    <w:p>
      <w:pPr>
        <w:ind w:firstLine="640" w:firstLineChars="200"/>
        <w:rPr>
          <w:rFonts w:hint="default" w:ascii="仿宋" w:hAnsi="仿宋" w:eastAsia="仿宋"/>
          <w:sz w:val="32"/>
          <w:szCs w:val="32"/>
          <w:lang w:val="en-US"/>
        </w:rPr>
      </w:pPr>
      <w:r>
        <w:rPr>
          <w:rFonts w:hint="eastAsia" w:ascii="仿宋" w:hAnsi="仿宋" w:eastAsia="仿宋"/>
          <w:sz w:val="32"/>
          <w:szCs w:val="32"/>
          <w:lang w:val="en-US" w:eastAsia="zh-CN"/>
        </w:rPr>
        <w:t>2.</w:t>
      </w:r>
      <w:r>
        <w:rPr>
          <w:rFonts w:hint="default" w:ascii="仿宋" w:hAnsi="仿宋" w:eastAsia="仿宋"/>
          <w:sz w:val="32"/>
          <w:szCs w:val="32"/>
        </w:rPr>
        <w:t>社会保障和就业（类）人力资源和社会保障管理事务（款）其他人力资源和社会保障管理事务支出（项）：支出决算 260 万元。</w:t>
      </w:r>
      <w:r>
        <w:rPr>
          <w:rFonts w:hint="eastAsia" w:ascii="仿宋" w:hAnsi="仿宋" w:eastAsia="仿宋"/>
          <w:sz w:val="32"/>
          <w:szCs w:val="32"/>
          <w:lang w:val="en-US" w:eastAsia="zh-CN"/>
        </w:rPr>
        <w:t>完成预算100%，决算数与预算数一致。</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default" w:ascii="仿宋" w:hAnsi="仿宋" w:eastAsia="仿宋"/>
          <w:sz w:val="32"/>
          <w:szCs w:val="32"/>
        </w:rPr>
        <w:t>社会保障和就业（类）行政事业单位养老支出（款）机关事业单位基本养老保险缴费支出（项）：支出决算 66.8 万元。</w:t>
      </w:r>
      <w:r>
        <w:rPr>
          <w:rFonts w:hint="eastAsia" w:ascii="仿宋" w:hAnsi="仿宋" w:eastAsia="仿宋"/>
          <w:sz w:val="32"/>
          <w:szCs w:val="32"/>
          <w:lang w:val="en-US" w:eastAsia="zh-CN"/>
        </w:rPr>
        <w:t>完成预算100%，决算数与预算数一致。</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default" w:ascii="仿宋" w:hAnsi="仿宋" w:eastAsia="仿宋"/>
          <w:sz w:val="32"/>
          <w:szCs w:val="32"/>
        </w:rPr>
        <w:t>社会保障和就业（类）行政事业单位养老支出（款）机关事业单位职业年金缴费支出（项）：支出决算 16.73 万元。</w:t>
      </w:r>
      <w:r>
        <w:rPr>
          <w:rFonts w:hint="eastAsia" w:ascii="仿宋" w:hAnsi="仿宋" w:eastAsia="仿宋"/>
          <w:sz w:val="32"/>
          <w:szCs w:val="32"/>
          <w:lang w:val="en-US" w:eastAsia="zh-CN"/>
        </w:rPr>
        <w:t>完成预算100%，决算数与预算数一致。</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default" w:ascii="仿宋" w:hAnsi="仿宋" w:eastAsia="仿宋"/>
          <w:sz w:val="32"/>
          <w:szCs w:val="32"/>
        </w:rPr>
        <w:t>社会保障和就业（类）行政事业单位养老支出（款）其他行政事业单位养老支出（项）：支出决算 58.87 万元。</w:t>
      </w:r>
      <w:r>
        <w:rPr>
          <w:rFonts w:hint="eastAsia" w:ascii="仿宋" w:hAnsi="仿宋" w:eastAsia="仿宋"/>
          <w:sz w:val="32"/>
          <w:szCs w:val="32"/>
          <w:lang w:val="en-US" w:eastAsia="zh-CN"/>
        </w:rPr>
        <w:t>完成预算100%，决算数与预算数一致。</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default" w:ascii="仿宋" w:hAnsi="仿宋" w:eastAsia="仿宋"/>
          <w:sz w:val="32"/>
          <w:szCs w:val="32"/>
        </w:rPr>
        <w:t>社会保障和就业（类）抚恤（款）其他优抚支出（项）：支出决算 1.73 万元。</w:t>
      </w:r>
      <w:r>
        <w:rPr>
          <w:rFonts w:hint="eastAsia" w:ascii="仿宋" w:hAnsi="仿宋" w:eastAsia="仿宋"/>
          <w:sz w:val="32"/>
          <w:szCs w:val="32"/>
          <w:lang w:val="en-US" w:eastAsia="zh-CN"/>
        </w:rPr>
        <w:t>完成预算100%，决算数与预算数一致。</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default" w:ascii="仿宋" w:hAnsi="仿宋" w:eastAsia="仿宋"/>
          <w:sz w:val="32"/>
          <w:szCs w:val="32"/>
        </w:rPr>
        <w:t>社会保障和就业（类）社会福利（款）其他社会福利支出（项）：支出决算 72.16 万元。</w:t>
      </w:r>
      <w:r>
        <w:rPr>
          <w:rFonts w:hint="eastAsia" w:ascii="仿宋" w:hAnsi="仿宋" w:eastAsia="仿宋"/>
          <w:sz w:val="32"/>
          <w:szCs w:val="32"/>
          <w:lang w:val="en-US" w:eastAsia="zh-CN"/>
        </w:rPr>
        <w:t>完成预算100%，决算数与预算数一致。</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default" w:ascii="仿宋" w:hAnsi="仿宋" w:eastAsia="仿宋"/>
          <w:sz w:val="32"/>
          <w:szCs w:val="32"/>
        </w:rPr>
        <w:t>卫生健康（类）行政事业单位医疗（款）行政单位医疗（项）：支出决算 17.07 万元。</w:t>
      </w:r>
      <w:r>
        <w:rPr>
          <w:rFonts w:hint="eastAsia" w:ascii="仿宋" w:hAnsi="仿宋" w:eastAsia="仿宋"/>
          <w:sz w:val="32"/>
          <w:szCs w:val="32"/>
          <w:lang w:val="en-US" w:eastAsia="zh-CN"/>
        </w:rPr>
        <w:t>完成预算100%，决算数与预算数一致。</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default" w:ascii="仿宋" w:hAnsi="仿宋" w:eastAsia="仿宋"/>
          <w:sz w:val="32"/>
          <w:szCs w:val="32"/>
        </w:rPr>
        <w:t>卫生健康（类）行政事业单位医疗（款）事业单位医疗（项）：支出决算 2.49万元。</w:t>
      </w:r>
      <w:r>
        <w:rPr>
          <w:rFonts w:hint="eastAsia" w:ascii="仿宋" w:hAnsi="仿宋" w:eastAsia="仿宋"/>
          <w:sz w:val="32"/>
          <w:szCs w:val="32"/>
          <w:lang w:val="en-US" w:eastAsia="zh-CN"/>
        </w:rPr>
        <w:t>完成预算100%，决算数与预算数一致。</w:t>
      </w:r>
    </w:p>
    <w:p>
      <w:pPr>
        <w:ind w:firstLine="640" w:firstLineChars="200"/>
        <w:rPr>
          <w:rFonts w:hint="eastAsia"/>
        </w:rPr>
      </w:pPr>
      <w:r>
        <w:rPr>
          <w:rFonts w:hint="eastAsia" w:ascii="仿宋" w:hAnsi="仿宋" w:eastAsia="仿宋"/>
          <w:sz w:val="32"/>
          <w:szCs w:val="32"/>
          <w:lang w:val="en-US" w:eastAsia="zh-CN"/>
        </w:rPr>
        <w:t>10.</w:t>
      </w:r>
      <w:r>
        <w:rPr>
          <w:rFonts w:hint="default" w:ascii="仿宋" w:hAnsi="仿宋" w:eastAsia="仿宋"/>
          <w:sz w:val="32"/>
          <w:szCs w:val="32"/>
        </w:rPr>
        <w:t>卫生健康（类）行政事业单位医疗（款）公务员医疗补助（项）：支出决算 6.72万元。</w:t>
      </w:r>
      <w:r>
        <w:rPr>
          <w:rFonts w:hint="eastAsia" w:ascii="仿宋" w:hAnsi="仿宋" w:eastAsia="仿宋"/>
          <w:sz w:val="32"/>
          <w:szCs w:val="32"/>
          <w:lang w:val="en-US" w:eastAsia="zh-CN"/>
        </w:rPr>
        <w:t>完成预算100%，决算数与预算数一致。</w:t>
      </w:r>
    </w:p>
    <w:p>
      <w:pPr>
        <w:ind w:firstLine="640" w:firstLineChars="200"/>
        <w:rPr>
          <w:rFonts w:ascii="仿宋" w:hAnsi="仿宋" w:eastAsia="仿宋"/>
          <w:b/>
          <w:sz w:val="32"/>
          <w:szCs w:val="32"/>
        </w:rPr>
      </w:pPr>
      <w:r>
        <w:rPr>
          <w:rFonts w:hint="eastAsia" w:ascii="仿宋" w:hAnsi="仿宋" w:eastAsia="仿宋"/>
          <w:sz w:val="32"/>
          <w:szCs w:val="32"/>
          <w:lang w:val="en-US" w:eastAsia="zh-CN"/>
        </w:rPr>
        <w:t>11.</w:t>
      </w:r>
      <w:r>
        <w:rPr>
          <w:rFonts w:hint="default" w:ascii="仿宋" w:hAnsi="仿宋" w:eastAsia="仿宋"/>
          <w:sz w:val="32"/>
          <w:szCs w:val="32"/>
        </w:rPr>
        <w:t>住房保障（类）住房改革支出（款）住房公积金（项）：支出决算 50.</w:t>
      </w:r>
      <w:r>
        <w:rPr>
          <w:rFonts w:hint="eastAsia" w:ascii="仿宋" w:hAnsi="仿宋" w:eastAsia="仿宋"/>
          <w:sz w:val="32"/>
          <w:szCs w:val="32"/>
          <w:lang w:val="en-US" w:eastAsia="zh-CN"/>
        </w:rPr>
        <w:t>1</w:t>
      </w:r>
      <w:r>
        <w:rPr>
          <w:rFonts w:hint="default" w:ascii="仿宋" w:hAnsi="仿宋" w:eastAsia="仿宋"/>
          <w:sz w:val="32"/>
          <w:szCs w:val="32"/>
        </w:rPr>
        <w:t>万元。</w:t>
      </w:r>
      <w:r>
        <w:rPr>
          <w:rFonts w:hint="eastAsia" w:ascii="仿宋" w:hAnsi="仿宋" w:eastAsia="仿宋"/>
          <w:sz w:val="32"/>
          <w:szCs w:val="32"/>
          <w:lang w:val="en-US" w:eastAsia="zh-CN"/>
        </w:rPr>
        <w:t>完成预算100%，决算数与预算数一致。</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9"/>
        </w:rPr>
      </w:pPr>
      <w:bookmarkStart w:id="48" w:name="_Toc15396608"/>
      <w:bookmarkStart w:id="49" w:name="_Toc3413"/>
      <w:bookmarkStart w:id="5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8"/>
      <w:bookmarkEnd w:id="49"/>
      <w:bookmarkEnd w:id="50"/>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794.26</w:t>
      </w:r>
      <w:r>
        <w:rPr>
          <w:rFonts w:hint="eastAsia" w:ascii="仿宋" w:hAnsi="仿宋" w:eastAsia="仿宋"/>
          <w:sz w:val="32"/>
          <w:szCs w:val="32"/>
        </w:rPr>
        <w:t>万元，其中：</w:t>
      </w:r>
    </w:p>
    <w:p>
      <w:pPr>
        <w:spacing w:line="600" w:lineRule="exact"/>
        <w:ind w:firstLine="645"/>
        <w:rPr>
          <w:rFonts w:hint="eastAsia"/>
          <w:lang w:eastAsia="zh-CN"/>
        </w:rPr>
      </w:pPr>
      <w:r>
        <w:rPr>
          <w:rFonts w:hint="eastAsia" w:ascii="仿宋" w:hAnsi="仿宋" w:eastAsia="仿宋"/>
          <w:sz w:val="32"/>
          <w:szCs w:val="32"/>
        </w:rPr>
        <w:t>人员经费</w:t>
      </w:r>
      <w:r>
        <w:rPr>
          <w:rFonts w:ascii="仿宋" w:hAnsi="仿宋" w:eastAsia="仿宋"/>
          <w:b/>
          <w:sz w:val="32"/>
          <w:szCs w:val="32"/>
        </w:rPr>
        <w:t>712</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82.26</w:t>
      </w:r>
      <w:r>
        <w:rPr>
          <w:rFonts w:hint="eastAsia" w:ascii="仿宋" w:hAnsi="仿宋" w:eastAsia="仿宋"/>
          <w:sz w:val="32"/>
          <w:szCs w:val="32"/>
        </w:rPr>
        <w:t>万元，主要包括：办公费、印刷费</w:t>
      </w:r>
      <w:r>
        <w:rPr>
          <w:rFonts w:hint="eastAsia" w:ascii="仿宋" w:hAnsi="仿宋" w:eastAsia="仿宋"/>
          <w:sz w:val="32"/>
          <w:szCs w:val="32"/>
          <w:lang w:eastAsia="zh-CN"/>
        </w:rPr>
        <w:t>、</w:t>
      </w:r>
      <w:r>
        <w:rPr>
          <w:rFonts w:hint="eastAsia" w:ascii="仿宋" w:hAnsi="仿宋" w:eastAsia="仿宋"/>
          <w:sz w:val="32"/>
          <w:szCs w:val="32"/>
        </w:rPr>
        <w:t>手续费、水费、电费、邮电费、物业管理费、差旅费、维修费、租赁费、会议费、培训费、公务接待费、劳务费、工会经费、福利费、公务用车运行维护费、其他交通费、其他商品和服务支出、办公设备购置等。</w:t>
      </w:r>
    </w:p>
    <w:p>
      <w:pPr>
        <w:spacing w:line="600" w:lineRule="exact"/>
        <w:ind w:firstLine="640"/>
        <w:outlineLvl w:val="1"/>
        <w:rPr>
          <w:rStyle w:val="29"/>
          <w:rFonts w:ascii="黑体" w:hAnsi="黑体" w:eastAsia="黑体"/>
          <w:b w:val="0"/>
        </w:rPr>
      </w:pPr>
      <w:bookmarkStart w:id="51" w:name="_Toc4657"/>
      <w:bookmarkStart w:id="52" w:name="_Toc15377215"/>
      <w:bookmarkStart w:id="53"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51"/>
      <w:bookmarkEnd w:id="52"/>
      <w:bookmarkEnd w:id="53"/>
    </w:p>
    <w:p>
      <w:pPr>
        <w:spacing w:line="600" w:lineRule="exact"/>
        <w:ind w:firstLine="640"/>
        <w:outlineLvl w:val="2"/>
        <w:rPr>
          <w:rFonts w:ascii="仿宋" w:hAnsi="仿宋" w:eastAsia="仿宋"/>
          <w:b/>
          <w:sz w:val="32"/>
          <w:szCs w:val="32"/>
        </w:rPr>
      </w:pPr>
      <w:bookmarkStart w:id="54" w:name="_Toc15377216"/>
      <w:r>
        <w:rPr>
          <w:rFonts w:hint="eastAsia" w:ascii="仿宋" w:hAnsi="仿宋" w:eastAsia="仿宋"/>
          <w:b/>
          <w:sz w:val="32"/>
          <w:szCs w:val="32"/>
        </w:rPr>
        <w:t>（一）“三公”经费财政拨款支出决算总体情况说明</w:t>
      </w:r>
      <w:bookmarkEnd w:id="54"/>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2023年度“三公”经费财政拨款支出决算为</w:t>
      </w:r>
      <w:r>
        <w:rPr>
          <w:rFonts w:ascii="仿宋" w:hAnsi="仿宋" w:eastAsia="仿宋"/>
          <w:b/>
          <w:sz w:val="32"/>
          <w:szCs w:val="32"/>
        </w:rPr>
        <w:t>0.37</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0.37</w:t>
      </w:r>
      <w:r>
        <w:rPr>
          <w:rFonts w:hint="eastAsia" w:ascii="仿宋" w:hAnsi="仿宋" w:eastAsia="仿宋"/>
          <w:sz w:val="32"/>
          <w:szCs w:val="32"/>
        </w:rPr>
        <w:t>万元，增长</w:t>
      </w:r>
      <w:r>
        <w:rPr>
          <w:rFonts w:hint="eastAsia" w:ascii="仿宋" w:hAnsi="仿宋" w:eastAsia="仿宋"/>
          <w:sz w:val="32"/>
          <w:szCs w:val="32"/>
          <w:lang w:val="en-US" w:eastAsia="zh-CN"/>
        </w:rPr>
        <w:t>10</w:t>
      </w:r>
      <w:r>
        <w:rPr>
          <w:rFonts w:hint="eastAsia" w:ascii="仿宋" w:hAnsi="仿宋" w:eastAsia="仿宋"/>
          <w:sz w:val="32"/>
          <w:szCs w:val="32"/>
          <w:lang w:eastAsia="zh-CN"/>
        </w:rPr>
        <w:t>0</w:t>
      </w:r>
      <w:r>
        <w:rPr>
          <w:rFonts w:hint="eastAsia" w:ascii="仿宋" w:hAnsi="仿宋" w:eastAsia="仿宋"/>
          <w:sz w:val="32"/>
          <w:szCs w:val="32"/>
        </w:rPr>
        <w:t>%。决算数</w:t>
      </w:r>
      <w:r>
        <w:rPr>
          <w:rFonts w:hint="eastAsia" w:ascii="仿宋" w:hAnsi="仿宋" w:eastAsia="仿宋"/>
          <w:sz w:val="32"/>
          <w:szCs w:val="32"/>
          <w:lang w:eastAsia="zh-CN"/>
        </w:rPr>
        <w:t>与</w:t>
      </w:r>
      <w:r>
        <w:rPr>
          <w:rFonts w:hint="eastAsia" w:ascii="仿宋" w:hAnsi="仿宋" w:eastAsia="仿宋"/>
          <w:sz w:val="32"/>
          <w:szCs w:val="32"/>
        </w:rPr>
        <w:t>预算数持平</w:t>
      </w:r>
      <w:r>
        <w:rPr>
          <w:rFonts w:hint="eastAsia" w:ascii="仿宋" w:hAnsi="仿宋" w:eastAsia="仿宋"/>
          <w:sz w:val="32"/>
          <w:szCs w:val="32"/>
          <w:lang w:eastAsia="zh-CN"/>
        </w:rPr>
        <w:t>。</w:t>
      </w:r>
    </w:p>
    <w:p>
      <w:pPr>
        <w:spacing w:line="600" w:lineRule="exact"/>
        <w:ind w:firstLine="640"/>
        <w:outlineLvl w:val="2"/>
        <w:rPr>
          <w:rFonts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0.37</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bookmarkStart w:id="56" w:name="_Toc15396610"/>
      <w:bookmarkStart w:id="57"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eastAsia="zh-CN"/>
        </w:rPr>
        <w:t>0</w:t>
      </w:r>
      <w:r>
        <w:rPr>
          <w:rFonts w:hint="eastAsia" w:ascii="仿宋_GB2312" w:eastAsia="仿宋_GB2312"/>
          <w:sz w:val="32"/>
          <w:szCs w:val="32"/>
        </w:rPr>
        <w:t>万元，下降</w:t>
      </w:r>
      <w:r>
        <w:rPr>
          <w:rFonts w:hint="eastAsia" w:ascii="仿宋_GB2312" w:eastAsia="仿宋_GB2312"/>
          <w:sz w:val="32"/>
          <w:szCs w:val="32"/>
          <w:lang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eastAsia="zh-CN"/>
        </w:rPr>
        <w:t>0</w:t>
      </w:r>
      <w:r>
        <w:rPr>
          <w:rFonts w:hint="eastAsia" w:ascii="仿宋_GB2312" w:eastAsia="仿宋_GB2312"/>
          <w:sz w:val="32"/>
          <w:szCs w:val="32"/>
        </w:rPr>
        <w:t>辆，其中：轿车</w:t>
      </w:r>
      <w:r>
        <w:rPr>
          <w:rFonts w:hint="eastAsia" w:ascii="仿宋_GB2312" w:eastAsia="仿宋_GB2312"/>
          <w:sz w:val="32"/>
          <w:szCs w:val="32"/>
          <w:lang w:eastAsia="zh-CN"/>
        </w:rPr>
        <w:t>0</w:t>
      </w:r>
      <w:r>
        <w:rPr>
          <w:rFonts w:hint="eastAsia" w:ascii="仿宋_GB2312" w:eastAsia="仿宋_GB2312"/>
          <w:sz w:val="32"/>
          <w:szCs w:val="32"/>
        </w:rPr>
        <w:t>辆、金额</w:t>
      </w:r>
      <w:r>
        <w:rPr>
          <w:rFonts w:hint="eastAsia" w:ascii="仿宋_GB2312" w:eastAsia="仿宋_GB2312"/>
          <w:sz w:val="32"/>
          <w:szCs w:val="32"/>
          <w:lang w:eastAsia="zh-CN"/>
        </w:rPr>
        <w:t>0</w:t>
      </w:r>
      <w:r>
        <w:rPr>
          <w:rFonts w:hint="eastAsia" w:ascii="仿宋_GB2312" w:eastAsia="仿宋_GB2312"/>
          <w:sz w:val="32"/>
          <w:szCs w:val="32"/>
        </w:rPr>
        <w:t>万元，越野车</w:t>
      </w:r>
      <w:r>
        <w:rPr>
          <w:rFonts w:hint="eastAsia" w:ascii="仿宋_GB2312" w:eastAsia="仿宋_GB2312"/>
          <w:sz w:val="32"/>
          <w:szCs w:val="32"/>
          <w:lang w:eastAsia="zh-CN"/>
        </w:rPr>
        <w:t>0</w:t>
      </w:r>
      <w:r>
        <w:rPr>
          <w:rFonts w:hint="eastAsia" w:ascii="仿宋_GB2312" w:eastAsia="仿宋_GB2312"/>
          <w:sz w:val="32"/>
          <w:szCs w:val="32"/>
        </w:rPr>
        <w:t>辆、金额</w:t>
      </w:r>
      <w:r>
        <w:rPr>
          <w:rFonts w:hint="eastAsia" w:ascii="仿宋_GB2312" w:eastAsia="仿宋_GB2312"/>
          <w:sz w:val="32"/>
          <w:szCs w:val="32"/>
          <w:lang w:eastAsia="zh-CN"/>
        </w:rPr>
        <w:t>0</w:t>
      </w:r>
      <w:r>
        <w:rPr>
          <w:rFonts w:hint="eastAsia" w:ascii="仿宋_GB2312" w:eastAsia="仿宋_GB2312"/>
          <w:sz w:val="32"/>
          <w:szCs w:val="32"/>
        </w:rPr>
        <w:t>万元，载客汽车</w:t>
      </w:r>
      <w:r>
        <w:rPr>
          <w:rFonts w:hint="eastAsia" w:ascii="仿宋_GB2312" w:eastAsia="仿宋_GB2312"/>
          <w:sz w:val="32"/>
          <w:szCs w:val="32"/>
          <w:lang w:eastAsia="zh-CN"/>
        </w:rPr>
        <w:t>0</w:t>
      </w:r>
      <w:r>
        <w:rPr>
          <w:rFonts w:hint="eastAsia" w:ascii="仿宋_GB2312" w:eastAsia="仿宋_GB2312"/>
          <w:sz w:val="32"/>
          <w:szCs w:val="32"/>
        </w:rPr>
        <w:t>辆、金额</w:t>
      </w:r>
      <w:r>
        <w:rPr>
          <w:rFonts w:hint="eastAsia" w:ascii="仿宋_GB2312" w:eastAsia="仿宋_GB2312"/>
          <w:sz w:val="32"/>
          <w:szCs w:val="32"/>
          <w:lang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eastAsia="zh-CN"/>
        </w:rPr>
        <w:t>0</w:t>
      </w:r>
      <w:r>
        <w:rPr>
          <w:rFonts w:hint="eastAsia" w:ascii="仿宋_GB2312" w:eastAsia="仿宋_GB2312"/>
          <w:sz w:val="32"/>
          <w:szCs w:val="32"/>
        </w:rPr>
        <w:t>辆，其中：轿车</w:t>
      </w:r>
      <w:r>
        <w:rPr>
          <w:rFonts w:hint="eastAsia" w:ascii="仿宋_GB2312" w:eastAsia="仿宋_GB2312"/>
          <w:sz w:val="32"/>
          <w:szCs w:val="32"/>
          <w:lang w:eastAsia="zh-CN"/>
        </w:rPr>
        <w:t>0</w:t>
      </w:r>
      <w:r>
        <w:rPr>
          <w:rFonts w:hint="eastAsia" w:ascii="仿宋_GB2312" w:eastAsia="仿宋_GB2312"/>
          <w:sz w:val="32"/>
          <w:szCs w:val="32"/>
        </w:rPr>
        <w:t>辆、越野车</w:t>
      </w:r>
      <w:r>
        <w:rPr>
          <w:rFonts w:hint="eastAsia" w:ascii="仿宋_GB2312" w:eastAsia="仿宋_GB2312"/>
          <w:sz w:val="32"/>
          <w:szCs w:val="32"/>
          <w:lang w:eastAsia="zh-CN"/>
        </w:rPr>
        <w:t>0</w:t>
      </w:r>
      <w:r>
        <w:rPr>
          <w:rFonts w:hint="eastAsia" w:ascii="仿宋_GB2312" w:eastAsia="仿宋_GB2312"/>
          <w:sz w:val="32"/>
          <w:szCs w:val="32"/>
        </w:rPr>
        <w:t>辆、载客汽车</w:t>
      </w:r>
      <w:r>
        <w:rPr>
          <w:rFonts w:hint="eastAsia" w:ascii="仿宋_GB2312" w:eastAsia="仿宋_GB2312"/>
          <w:sz w:val="32"/>
          <w:szCs w:val="32"/>
          <w:lang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numPr>
          <w:ilvl w:val="0"/>
          <w:numId w:val="0"/>
        </w:numPr>
        <w:spacing w:line="600" w:lineRule="exact"/>
        <w:ind w:firstLine="643" w:firstLineChars="200"/>
        <w:rPr>
          <w:rFonts w:hint="default" w:ascii="仿宋_GB2312" w:eastAsia="仿宋_GB2312"/>
          <w:sz w:val="32"/>
          <w:szCs w:val="32"/>
          <w:lang w:val="en-US" w:eastAsia="zh-CN"/>
        </w:rPr>
      </w:pPr>
      <w:r>
        <w:rPr>
          <w:rFonts w:hint="eastAsia" w:ascii="仿宋_GB2312" w:eastAsia="仿宋_GB2312"/>
          <w:b/>
          <w:sz w:val="32"/>
          <w:szCs w:val="32"/>
          <w:lang w:val="en-US" w:eastAsia="zh-CN"/>
        </w:rPr>
        <w:t>3.</w:t>
      </w:r>
      <w:r>
        <w:rPr>
          <w:rFonts w:hint="eastAsia" w:ascii="仿宋_GB2312" w:eastAsia="仿宋_GB2312"/>
          <w:b/>
          <w:sz w:val="32"/>
          <w:szCs w:val="32"/>
        </w:rPr>
        <w:t>公务接待费支出</w:t>
      </w:r>
      <w:r>
        <w:rPr>
          <w:rFonts w:ascii="仿宋" w:hAnsi="仿宋" w:eastAsia="仿宋"/>
          <w:b/>
          <w:sz w:val="32"/>
          <w:szCs w:val="32"/>
        </w:rPr>
        <w:t>0.37</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eastAsia="zh-CN"/>
        </w:rPr>
        <w:t>0</w:t>
      </w:r>
      <w:r>
        <w:rPr>
          <w:rFonts w:hint="eastAsia" w:ascii="仿宋_GB2312" w:eastAsia="仿宋_GB2312"/>
          <w:sz w:val="32"/>
          <w:szCs w:val="32"/>
          <w:lang w:val="en-US" w:eastAsia="zh-CN"/>
        </w:rPr>
        <w:t>.37</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100%。</w:t>
      </w:r>
    </w:p>
    <w:p>
      <w:pPr>
        <w:numPr>
          <w:ilvl w:val="0"/>
          <w:numId w:val="0"/>
        </w:numPr>
        <w:spacing w:line="600" w:lineRule="exact"/>
        <w:ind w:firstLine="643" w:firstLineChars="200"/>
        <w:rPr>
          <w:rFonts w:hint="default" w:ascii="仿宋_GB2312" w:eastAsia="宋体"/>
          <w:sz w:val="32"/>
          <w:szCs w:val="32"/>
          <w:highlight w:val="none"/>
          <w:lang w:val="en-US" w:eastAsia="zh-CN"/>
        </w:rPr>
      </w:pPr>
      <w:r>
        <w:rPr>
          <w:rFonts w:hint="eastAsia" w:ascii="仿宋" w:hAnsi="仿宋" w:eastAsia="仿宋"/>
          <w:b/>
          <w:sz w:val="32"/>
          <w:szCs w:val="32"/>
          <w:lang w:val="en-US" w:eastAsia="zh-CN"/>
        </w:rPr>
        <w:t>4.</w:t>
      </w:r>
      <w:r>
        <w:rPr>
          <w:rFonts w:hint="eastAsia" w:ascii="仿宋" w:hAnsi="仿宋" w:eastAsia="仿宋"/>
          <w:b/>
          <w:sz w:val="32"/>
          <w:szCs w:val="32"/>
        </w:rPr>
        <w:t>国内公务接待支出</w:t>
      </w:r>
      <w:r>
        <w:rPr>
          <w:rFonts w:ascii="仿宋" w:hAnsi="仿宋" w:eastAsia="仿宋"/>
          <w:b/>
          <w:sz w:val="32"/>
          <w:szCs w:val="32"/>
        </w:rPr>
        <w:t>0.37</w:t>
      </w:r>
      <w:r>
        <w:rPr>
          <w:rFonts w:hint="eastAsia" w:ascii="仿宋_GB2312" w:eastAsia="仿宋_GB2312"/>
          <w:sz w:val="32"/>
          <w:szCs w:val="32"/>
        </w:rPr>
        <w:t>万元</w:t>
      </w:r>
      <w:r>
        <w:rPr>
          <w:rFonts w:hint="eastAsia" w:ascii="仿宋_GB2312" w:eastAsia="仿宋_GB2312"/>
          <w:sz w:val="32"/>
          <w:szCs w:val="32"/>
          <w:highlight w:val="none"/>
        </w:rPr>
        <w:t>，主要用于</w:t>
      </w:r>
      <w:r>
        <w:rPr>
          <w:rFonts w:hint="eastAsia" w:ascii="仿宋_GB2312" w:eastAsia="仿宋_GB2312"/>
          <w:sz w:val="32"/>
          <w:szCs w:val="32"/>
          <w:highlight w:val="none"/>
          <w:lang w:eastAsia="zh-CN"/>
        </w:rPr>
        <w:t>支付公务接待期间的用餐</w:t>
      </w:r>
      <w:r>
        <w:rPr>
          <w:rFonts w:hint="eastAsia" w:ascii="仿宋_GB2312" w:eastAsia="仿宋_GB2312"/>
          <w:sz w:val="32"/>
          <w:szCs w:val="32"/>
          <w:highlight w:val="none"/>
        </w:rPr>
        <w:t>费等。国内公务接待</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批次，人次</w:t>
      </w:r>
      <w:r>
        <w:rPr>
          <w:rFonts w:hint="eastAsia" w:ascii="仿宋_GB2312" w:eastAsia="仿宋_GB2312"/>
          <w:sz w:val="32"/>
          <w:szCs w:val="32"/>
          <w:highlight w:val="none"/>
          <w:lang w:val="en-US" w:eastAsia="zh-CN"/>
        </w:rPr>
        <w:t>31人</w:t>
      </w:r>
      <w:r>
        <w:rPr>
          <w:rFonts w:hint="eastAsia" w:ascii="仿宋_GB2312" w:eastAsia="仿宋_GB2312"/>
          <w:sz w:val="32"/>
          <w:szCs w:val="32"/>
          <w:highlight w:val="none"/>
        </w:rPr>
        <w:t>（不包括陪同人员），共计支出</w:t>
      </w:r>
      <w:r>
        <w:rPr>
          <w:rFonts w:hint="eastAsia" w:ascii="仿宋_GB2312" w:eastAsia="仿宋_GB2312"/>
          <w:sz w:val="32"/>
          <w:szCs w:val="32"/>
          <w:highlight w:val="none"/>
          <w:lang w:eastAsia="zh-CN"/>
        </w:rPr>
        <w:t>0</w:t>
      </w:r>
      <w:r>
        <w:rPr>
          <w:rFonts w:hint="eastAsia" w:ascii="仿宋_GB2312" w:eastAsia="仿宋_GB2312"/>
          <w:sz w:val="32"/>
          <w:szCs w:val="32"/>
          <w:highlight w:val="none"/>
          <w:lang w:val="en-US" w:eastAsia="zh-CN"/>
        </w:rPr>
        <w:t>.37</w:t>
      </w:r>
      <w:r>
        <w:rPr>
          <w:rFonts w:hint="eastAsia" w:ascii="仿宋_GB2312" w:eastAsia="仿宋_GB2312"/>
          <w:sz w:val="32"/>
          <w:szCs w:val="32"/>
          <w:highlight w:val="none"/>
        </w:rPr>
        <w:t>万元，具体内容包括</w:t>
      </w:r>
      <w:r>
        <w:rPr>
          <w:rFonts w:hint="eastAsia" w:ascii="仿宋_GB2312" w:eastAsia="仿宋_GB2312"/>
          <w:sz w:val="32"/>
          <w:szCs w:val="32"/>
          <w:highlight w:val="none"/>
          <w:lang w:eastAsia="zh-CN"/>
        </w:rPr>
        <w:t>接待乐山市沙湾区社会保险事务中心</w:t>
      </w:r>
      <w:r>
        <w:rPr>
          <w:rFonts w:hint="eastAsia" w:ascii="仿宋_GB2312" w:eastAsia="仿宋_GB2312"/>
          <w:sz w:val="32"/>
          <w:szCs w:val="32"/>
          <w:highlight w:val="none"/>
          <w:lang w:val="en-US" w:eastAsia="zh-CN"/>
        </w:rPr>
        <w:t>5人</w:t>
      </w:r>
      <w:r>
        <w:rPr>
          <w:rFonts w:hint="eastAsia" w:ascii="仿宋_GB2312" w:eastAsia="仿宋_GB2312"/>
          <w:sz w:val="32"/>
          <w:szCs w:val="32"/>
          <w:highlight w:val="none"/>
          <w:lang w:eastAsia="zh-CN"/>
        </w:rPr>
        <w:t>到我单位开展冒领社保基金追缴工作，接待泸州市龙马潭区人力资源和社会保障局</w:t>
      </w:r>
      <w:r>
        <w:rPr>
          <w:rFonts w:hint="eastAsia" w:ascii="仿宋_GB2312" w:eastAsia="仿宋_GB2312"/>
          <w:sz w:val="32"/>
          <w:szCs w:val="32"/>
          <w:highlight w:val="none"/>
          <w:lang w:val="en-US" w:eastAsia="zh-CN"/>
        </w:rPr>
        <w:t>12人</w:t>
      </w:r>
      <w:r>
        <w:rPr>
          <w:rFonts w:hint="eastAsia" w:ascii="仿宋_GB2312" w:eastAsia="仿宋_GB2312"/>
          <w:sz w:val="32"/>
          <w:szCs w:val="32"/>
          <w:highlight w:val="none"/>
          <w:lang w:eastAsia="zh-CN"/>
        </w:rPr>
        <w:t>到我单位开展</w:t>
      </w:r>
      <w:r>
        <w:rPr>
          <w:rFonts w:hint="eastAsia" w:ascii="仿宋_GB2312" w:eastAsia="仿宋_GB2312"/>
          <w:sz w:val="32"/>
          <w:szCs w:val="32"/>
          <w:highlight w:val="none"/>
          <w:lang w:val="en-US" w:eastAsia="zh-CN"/>
        </w:rPr>
        <w:t>2023年社会保险基金管理交叉检查工作，接待</w:t>
      </w:r>
      <w:r>
        <w:rPr>
          <w:rFonts w:hint="eastAsia" w:ascii="仿宋_GB2312" w:eastAsia="仿宋_GB2312"/>
          <w:sz w:val="32"/>
          <w:szCs w:val="32"/>
          <w:highlight w:val="none"/>
          <w:lang w:val="zh-CN" w:eastAsia="zh-CN"/>
        </w:rPr>
        <w:t>人社部社保基金管理省级交叉检查人员</w:t>
      </w:r>
      <w:r>
        <w:rPr>
          <w:rFonts w:hint="eastAsia" w:ascii="仿宋_GB2312" w:eastAsia="仿宋_GB2312"/>
          <w:sz w:val="32"/>
          <w:szCs w:val="32"/>
          <w:highlight w:val="none"/>
          <w:lang w:val="en-US" w:eastAsia="zh-CN"/>
        </w:rPr>
        <w:t>14人。</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eastAsia="zh-CN"/>
        </w:rPr>
        <w:t>0</w:t>
      </w:r>
      <w:r>
        <w:rPr>
          <w:rFonts w:hint="eastAsia" w:ascii="仿宋_GB2312" w:eastAsia="仿宋_GB2312"/>
          <w:sz w:val="32"/>
          <w:szCs w:val="32"/>
        </w:rPr>
        <w:t>批次，</w:t>
      </w:r>
      <w:r>
        <w:rPr>
          <w:rFonts w:hint="eastAsia" w:ascii="仿宋_GB2312" w:eastAsia="仿宋_GB2312"/>
          <w:sz w:val="32"/>
          <w:szCs w:val="32"/>
          <w:lang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eastAsia="zh-CN"/>
        </w:rPr>
        <w:t>0</w:t>
      </w:r>
      <w:r>
        <w:rPr>
          <w:rFonts w:hint="eastAsia" w:ascii="仿宋_GB2312" w:eastAsia="仿宋_GB2312"/>
          <w:sz w:val="32"/>
          <w:szCs w:val="32"/>
        </w:rPr>
        <w:t>万元。</w:t>
      </w:r>
    </w:p>
    <w:p>
      <w:pPr>
        <w:spacing w:line="600" w:lineRule="exact"/>
        <w:ind w:firstLine="640"/>
        <w:outlineLvl w:val="1"/>
        <w:rPr>
          <w:rStyle w:val="29"/>
          <w:rFonts w:ascii="黑体" w:hAnsi="黑体" w:eastAsia="黑体"/>
        </w:rPr>
      </w:pPr>
      <w:bookmarkStart w:id="58" w:name="_Toc28451"/>
      <w:r>
        <w:rPr>
          <w:rFonts w:hint="eastAsia" w:ascii="黑体" w:eastAsia="黑体"/>
          <w:sz w:val="32"/>
          <w:szCs w:val="32"/>
        </w:rPr>
        <w:t>八、</w:t>
      </w:r>
      <w:r>
        <w:rPr>
          <w:rStyle w:val="29"/>
          <w:rFonts w:hint="eastAsia" w:ascii="黑体" w:hAnsi="黑体" w:eastAsia="黑体"/>
          <w:b w:val="0"/>
        </w:rPr>
        <w:t>政府性基金预算支出决算情况说明</w:t>
      </w:r>
      <w:bookmarkEnd w:id="56"/>
      <w:bookmarkEnd w:id="57"/>
      <w:bookmarkEnd w:id="58"/>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59" w:name="_Toc10993"/>
      <w:bookmarkStart w:id="60" w:name="_Toc15377219"/>
      <w:bookmarkStart w:id="61" w:name="_Toc15396611"/>
      <w:r>
        <w:rPr>
          <w:rStyle w:val="29"/>
          <w:rFonts w:hint="eastAsia" w:ascii="黑体" w:hAnsi="黑体" w:eastAsia="黑体"/>
          <w:b w:val="0"/>
        </w:rPr>
        <w:t>国有资本经营预算支出决算情况说明</w:t>
      </w:r>
      <w:bookmarkEnd w:id="59"/>
      <w:bookmarkEnd w:id="60"/>
      <w:bookmarkEnd w:id="61"/>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9"/>
          <w:rFonts w:ascii="黑体" w:hAnsi="黑体" w:eastAsia="黑体"/>
          <w:b w:val="0"/>
        </w:rPr>
      </w:pPr>
      <w:bookmarkStart w:id="62" w:name="_Toc15396612"/>
      <w:bookmarkStart w:id="63" w:name="_Toc15377221"/>
      <w:bookmarkStart w:id="64" w:name="_Toc6"/>
      <w:r>
        <w:rPr>
          <w:rStyle w:val="29"/>
          <w:rFonts w:hint="eastAsia" w:ascii="黑体" w:hAnsi="黑体" w:eastAsia="黑体"/>
          <w:b w:val="0"/>
        </w:rPr>
        <w:t>其他重要事项的情况说明</w:t>
      </w:r>
      <w:bookmarkEnd w:id="62"/>
      <w:bookmarkEnd w:id="63"/>
      <w:bookmarkEnd w:id="64"/>
    </w:p>
    <w:p>
      <w:pPr>
        <w:spacing w:line="60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pPr>
        <w:spacing w:line="600" w:lineRule="exact"/>
        <w:ind w:firstLine="640" w:firstLineChars="200"/>
        <w:rPr>
          <w:rFonts w:hint="default" w:ascii="仿宋" w:hAnsi="仿宋" w:eastAsia="仿宋"/>
          <w:b/>
          <w:sz w:val="32"/>
          <w:szCs w:val="32"/>
          <w:lang w:val="en-US"/>
        </w:rPr>
      </w:pPr>
      <w:r>
        <w:rPr>
          <w:rFonts w:hint="eastAsia" w:ascii="仿宋_GB2312" w:eastAsia="仿宋_GB2312"/>
          <w:sz w:val="32"/>
          <w:szCs w:val="32"/>
        </w:rPr>
        <w:t>2023年度，泸县社会保险事业管理局机关运行经费支出</w:t>
      </w:r>
      <w:r>
        <w:rPr>
          <w:rFonts w:ascii="仿宋" w:hAnsi="仿宋" w:eastAsia="仿宋"/>
          <w:b w:val="0"/>
          <w:bCs/>
          <w:sz w:val="32"/>
          <w:szCs w:val="32"/>
        </w:rPr>
        <w:t>82.26</w:t>
      </w:r>
      <w:r>
        <w:rPr>
          <w:rFonts w:hint="eastAsia" w:ascii="仿宋_GB2312" w:eastAsia="仿宋_GB2312"/>
          <w:sz w:val="32"/>
          <w:szCs w:val="32"/>
        </w:rPr>
        <w:t>万元，比2022年度增加</w:t>
      </w:r>
      <w:r>
        <w:rPr>
          <w:rFonts w:hint="eastAsia" w:ascii="仿宋_GB2312" w:eastAsia="仿宋_GB2312"/>
          <w:sz w:val="32"/>
          <w:szCs w:val="32"/>
          <w:lang w:val="en-US" w:eastAsia="zh-CN"/>
        </w:rPr>
        <w:t>5.4</w:t>
      </w:r>
      <w:r>
        <w:rPr>
          <w:rFonts w:hint="eastAsia" w:ascii="仿宋_GB2312" w:eastAsia="仿宋_GB2312"/>
          <w:sz w:val="32"/>
          <w:szCs w:val="32"/>
        </w:rPr>
        <w:t>万元，增长</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是办公设备购置费用比</w:t>
      </w:r>
      <w:r>
        <w:rPr>
          <w:rFonts w:hint="eastAsia" w:ascii="仿宋_GB2312" w:eastAsia="仿宋_GB2312"/>
          <w:sz w:val="32"/>
          <w:szCs w:val="32"/>
          <w:lang w:val="en-US" w:eastAsia="zh-CN"/>
        </w:rPr>
        <w:t>2022年度</w:t>
      </w:r>
      <w:r>
        <w:rPr>
          <w:rFonts w:hint="eastAsia" w:ascii="仿宋_GB2312" w:eastAsia="仿宋_GB2312"/>
          <w:sz w:val="32"/>
          <w:szCs w:val="32"/>
          <w:lang w:eastAsia="zh-CN"/>
        </w:rPr>
        <w:t>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泸县社会保险事业管理局</w:t>
      </w:r>
      <w:r>
        <w:rPr>
          <w:rFonts w:hint="eastAsia" w:ascii="仿宋_GB2312" w:eastAsia="仿宋_GB2312"/>
          <w:sz w:val="32"/>
          <w:szCs w:val="32"/>
        </w:rPr>
        <w:t>政府采购支出总额</w:t>
      </w:r>
      <w:r>
        <w:rPr>
          <w:rFonts w:ascii="仿宋" w:hAnsi="仿宋" w:eastAsia="仿宋"/>
          <w:b/>
          <w:sz w:val="32"/>
          <w:szCs w:val="32"/>
        </w:rPr>
        <w:t>59.44</w:t>
      </w:r>
      <w:r>
        <w:rPr>
          <w:rFonts w:hint="eastAsia" w:ascii="仿宋_GB2312" w:eastAsia="仿宋_GB2312"/>
          <w:sz w:val="32"/>
          <w:szCs w:val="32"/>
        </w:rPr>
        <w:t>万元，其中：政府采购货物支出</w:t>
      </w:r>
      <w:r>
        <w:rPr>
          <w:rFonts w:ascii="仿宋" w:hAnsi="仿宋" w:eastAsia="仿宋"/>
          <w:b/>
          <w:sz w:val="32"/>
          <w:szCs w:val="32"/>
        </w:rPr>
        <w:t>59.44</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rPr>
        <w:t>主要用</w:t>
      </w:r>
      <w:r>
        <w:rPr>
          <w:rFonts w:hint="eastAsia" w:ascii="仿宋_GB2312" w:eastAsia="仿宋_GB2312"/>
          <w:color w:val="auto"/>
          <w:sz w:val="32"/>
          <w:szCs w:val="32"/>
          <w:highlight w:val="none"/>
          <w:lang w:eastAsia="zh-CN"/>
        </w:rPr>
        <w:t>于采购企业退休人员双节慰问品</w:t>
      </w:r>
      <w:r>
        <w:rPr>
          <w:rFonts w:hint="eastAsia" w:ascii="仿宋_GB2312" w:eastAsia="仿宋_GB2312"/>
          <w:sz w:val="32"/>
          <w:szCs w:val="32"/>
        </w:rPr>
        <w:t>。授予中小企业合同金额</w:t>
      </w:r>
      <w:r>
        <w:rPr>
          <w:rFonts w:ascii="仿宋" w:hAnsi="仿宋" w:eastAsia="仿宋"/>
          <w:b/>
          <w:sz w:val="32"/>
          <w:szCs w:val="32"/>
        </w:rPr>
        <w:t>59.44</w:t>
      </w:r>
      <w:r>
        <w:rPr>
          <w:rFonts w:hint="eastAsia" w:ascii="仿宋_GB2312" w:eastAsia="仿宋_GB2312"/>
          <w:sz w:val="32"/>
          <w:szCs w:val="32"/>
        </w:rPr>
        <w:t>万元，占政府采购支出总额的</w:t>
      </w:r>
      <w:r>
        <w:rPr>
          <w:rFonts w:ascii="仿宋_GB2312" w:eastAsia="仿宋_GB2312"/>
          <w:sz w:val="32"/>
          <w:szCs w:val="32"/>
        </w:rPr>
        <w:t>1</w:t>
      </w:r>
      <w:r>
        <w:rPr>
          <w:rFonts w:hint="eastAsia" w:ascii="仿宋_GB2312" w:eastAsia="仿宋_GB2312"/>
          <w:sz w:val="32"/>
          <w:szCs w:val="32"/>
          <w:lang w:val="en-US" w:eastAsia="zh-CN"/>
        </w:rPr>
        <w:t>00</w:t>
      </w:r>
      <w:r>
        <w:rPr>
          <w:rFonts w:ascii="仿宋_GB2312" w:eastAsia="仿宋_GB2312"/>
          <w:sz w:val="32"/>
          <w:szCs w:val="32"/>
        </w:rPr>
        <w:t>%</w:t>
      </w:r>
      <w:r>
        <w:rPr>
          <w:rFonts w:hint="eastAsia" w:ascii="仿宋_GB2312" w:eastAsia="仿宋_GB2312"/>
          <w:sz w:val="32"/>
          <w:szCs w:val="32"/>
        </w:rPr>
        <w:t>，其中：授予小微企业合同金额</w:t>
      </w:r>
      <w:r>
        <w:rPr>
          <w:rFonts w:ascii="仿宋" w:hAnsi="仿宋" w:eastAsia="仿宋"/>
          <w:b/>
          <w:sz w:val="32"/>
          <w:szCs w:val="32"/>
        </w:rPr>
        <w:t>59.44</w:t>
      </w:r>
      <w:r>
        <w:rPr>
          <w:rFonts w:hint="eastAsia" w:ascii="仿宋_GB2312" w:eastAsia="仿宋_GB2312"/>
          <w:sz w:val="32"/>
          <w:szCs w:val="32"/>
        </w:rPr>
        <w:t>万元，占政府采购支出总额的</w:t>
      </w:r>
      <w:r>
        <w:rPr>
          <w:rFonts w:ascii="仿宋_GB2312" w:eastAsia="仿宋_GB2312"/>
          <w:b/>
          <w:sz w:val="32"/>
          <w:szCs w:val="32"/>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泸县社会保险事业管理局</w:t>
      </w:r>
      <w:r>
        <w:rPr>
          <w:rFonts w:hint="eastAsia" w:ascii="仿宋_GB2312" w:eastAsia="仿宋_GB2312"/>
          <w:sz w:val="32"/>
          <w:szCs w:val="32"/>
        </w:rPr>
        <w:t>共有车辆</w:t>
      </w:r>
      <w:r>
        <w:rPr>
          <w:rFonts w:hint="eastAsia" w:ascii="仿宋_GB2312" w:eastAsia="仿宋_GB2312"/>
          <w:b w:val="0"/>
          <w:bCs/>
          <w:sz w:val="32"/>
          <w:szCs w:val="32"/>
        </w:rPr>
        <w:t>0辆，其中：主要领导干部用车</w:t>
      </w:r>
      <w:r>
        <w:rPr>
          <w:rFonts w:hint="eastAsia" w:ascii="仿宋_GB2312" w:eastAsia="仿宋_GB2312"/>
          <w:b w:val="0"/>
          <w:bCs/>
          <w:sz w:val="32"/>
          <w:szCs w:val="32"/>
          <w:lang w:eastAsia="zh-CN"/>
        </w:rPr>
        <w:t>0</w:t>
      </w:r>
      <w:r>
        <w:rPr>
          <w:rFonts w:hint="eastAsia" w:ascii="仿宋_GB2312" w:eastAsia="仿宋_GB2312"/>
          <w:b w:val="0"/>
          <w:bCs/>
          <w:sz w:val="32"/>
          <w:szCs w:val="32"/>
        </w:rPr>
        <w:t>辆、机要通信用车</w:t>
      </w:r>
      <w:r>
        <w:rPr>
          <w:rFonts w:hint="eastAsia" w:ascii="仿宋_GB2312" w:eastAsia="仿宋_GB2312"/>
          <w:b w:val="0"/>
          <w:bCs/>
          <w:sz w:val="32"/>
          <w:szCs w:val="32"/>
          <w:lang w:eastAsia="zh-CN"/>
        </w:rPr>
        <w:t>0</w:t>
      </w:r>
      <w:r>
        <w:rPr>
          <w:rFonts w:hint="eastAsia" w:ascii="仿宋_GB2312" w:eastAsia="仿宋_GB2312"/>
          <w:b w:val="0"/>
          <w:bCs/>
          <w:sz w:val="32"/>
          <w:szCs w:val="32"/>
        </w:rPr>
        <w:t>辆、应急保障用车</w:t>
      </w:r>
      <w:r>
        <w:rPr>
          <w:rFonts w:hint="eastAsia" w:ascii="仿宋_GB2312" w:eastAsia="仿宋_GB2312"/>
          <w:b w:val="0"/>
          <w:bCs/>
          <w:sz w:val="32"/>
          <w:szCs w:val="32"/>
          <w:lang w:eastAsia="zh-CN"/>
        </w:rPr>
        <w:t>0</w:t>
      </w:r>
      <w:r>
        <w:rPr>
          <w:rFonts w:hint="eastAsia" w:ascii="仿宋_GB2312" w:eastAsia="仿宋_GB2312"/>
          <w:b w:val="0"/>
          <w:bCs/>
          <w:sz w:val="32"/>
          <w:szCs w:val="32"/>
        </w:rPr>
        <w:t>辆、其他用车</w:t>
      </w:r>
      <w:r>
        <w:rPr>
          <w:rFonts w:hint="eastAsia" w:ascii="仿宋_GB2312" w:eastAsia="仿宋_GB2312"/>
          <w:b w:val="0"/>
          <w:bCs/>
          <w:sz w:val="32"/>
          <w:szCs w:val="32"/>
          <w:lang w:eastAsia="zh-CN"/>
        </w:rPr>
        <w:t>0</w:t>
      </w:r>
      <w:r>
        <w:rPr>
          <w:rFonts w:hint="eastAsia" w:ascii="仿宋_GB2312" w:eastAsia="仿宋_GB2312"/>
          <w:b w:val="0"/>
          <w:bCs/>
          <w:sz w:val="32"/>
          <w:szCs w:val="32"/>
        </w:rPr>
        <w:t>辆</w:t>
      </w:r>
      <w:r>
        <w:rPr>
          <w:rFonts w:hint="eastAsia" w:ascii="仿宋_GB2312" w:eastAsia="仿宋_GB2312"/>
          <w:b w:val="0"/>
          <w:bCs/>
          <w:sz w:val="32"/>
          <w:szCs w:val="32"/>
          <w:lang w:eastAsia="zh-CN"/>
        </w:rPr>
        <w:t>。</w:t>
      </w:r>
      <w:r>
        <w:rPr>
          <w:rFonts w:hint="eastAsia" w:ascii="仿宋_GB2312" w:eastAsia="仿宋_GB2312"/>
          <w:b w:val="0"/>
          <w:bCs/>
          <w:sz w:val="32"/>
          <w:szCs w:val="32"/>
        </w:rPr>
        <w:t>单价</w:t>
      </w:r>
      <w:r>
        <w:rPr>
          <w:rFonts w:ascii="仿宋_GB2312" w:eastAsia="仿宋_GB2312"/>
          <w:b w:val="0"/>
          <w:bCs/>
          <w:sz w:val="32"/>
          <w:szCs w:val="32"/>
        </w:rPr>
        <w:t>100</w:t>
      </w:r>
      <w:r>
        <w:rPr>
          <w:rFonts w:hint="eastAsia" w:ascii="仿宋_GB2312" w:eastAsia="仿宋_GB2312"/>
          <w:b w:val="0"/>
          <w:bCs/>
          <w:sz w:val="32"/>
          <w:szCs w:val="32"/>
        </w:rPr>
        <w:t>万元以上设备（不含车辆）</w:t>
      </w:r>
      <w:r>
        <w:rPr>
          <w:rFonts w:ascii="仿宋_GB2312" w:eastAsia="仿宋_GB2312"/>
          <w:b w:val="0"/>
          <w:bCs/>
          <w:sz w:val="32"/>
          <w:szCs w:val="32"/>
        </w:rPr>
        <w:t>0</w:t>
      </w:r>
      <w:r>
        <w:rPr>
          <w:rFonts w:hint="eastAsia" w:ascii="仿宋_GB2312" w:eastAsia="仿宋_GB2312"/>
          <w:b w:val="0"/>
          <w:bCs/>
          <w:sz w:val="32"/>
          <w:szCs w:val="32"/>
        </w:rPr>
        <w:t>台（</w:t>
      </w:r>
      <w:r>
        <w:rPr>
          <w:rFonts w:hint="eastAsia" w:ascii="仿宋_GB2312" w:eastAsia="仿宋_GB2312"/>
          <w:sz w:val="32"/>
          <w:szCs w:val="32"/>
        </w:rPr>
        <w:t>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根据预算绩效管理要求，本单位在2023年度预算编制阶段，组织对</w:t>
      </w:r>
      <w:r>
        <w:rPr>
          <w:rFonts w:hint="eastAsia" w:ascii="仿宋_GB2312" w:eastAsia="仿宋_GB2312"/>
          <w:color w:val="auto"/>
          <w:sz w:val="32"/>
          <w:szCs w:val="32"/>
          <w:lang w:val="en-US" w:eastAsia="zh-CN"/>
        </w:rPr>
        <w:t>企业职工养老保险退休人员社会化管理服务、老被征地农转非基本生活保障金、离休干部津贴补贴、企业退休人员资格认证费等8</w:t>
      </w:r>
      <w:r>
        <w:rPr>
          <w:rFonts w:hint="eastAsia" w:ascii="仿宋_GB2312" w:eastAsia="仿宋_GB2312"/>
          <w:color w:val="auto"/>
          <w:sz w:val="32"/>
          <w:szCs w:val="32"/>
        </w:rPr>
        <w:t>个项目开展了预算事前绩效评估，对</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个项目编制了绩效目标，预算执行过程中，选取</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个项目开展绩效监控，组织对</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left="1650" w:leftChars="0" w:firstLine="660" w:firstLineChars="0"/>
        <w:jc w:val="both"/>
        <w:outlineLvl w:val="0"/>
        <w:rPr>
          <w:rStyle w:val="28"/>
          <w:rFonts w:ascii="黑体" w:hAnsi="黑体" w:eastAsia="黑体"/>
          <w:b w:val="0"/>
        </w:rPr>
      </w:pPr>
      <w:bookmarkStart w:id="68" w:name="_Toc15396613"/>
      <w:bookmarkStart w:id="69" w:name="_Toc15377225"/>
      <w:bookmarkStart w:id="70" w:name="_Toc9720"/>
      <w:r>
        <w:rPr>
          <w:rFonts w:hint="eastAsia" w:ascii="黑体" w:hAnsi="黑体" w:eastAsia="黑体"/>
          <w:sz w:val="44"/>
          <w:szCs w:val="44"/>
        </w:rPr>
        <w:t>名</w:t>
      </w:r>
      <w:r>
        <w:rPr>
          <w:rStyle w:val="28"/>
          <w:rFonts w:hint="eastAsia" w:ascii="黑体" w:hAnsi="黑体" w:eastAsia="黑体"/>
          <w:b w:val="0"/>
        </w:rPr>
        <w:t>词解释</w:t>
      </w:r>
      <w:bookmarkEnd w:id="68"/>
      <w:bookmarkEnd w:id="69"/>
      <w:bookmarkEnd w:id="70"/>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s="黑体"/>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sz w:val="32"/>
          <w:szCs w:val="32"/>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both"/>
        <w:textAlignment w:val="auto"/>
        <w:outlineLvl w:val="9"/>
        <w:rPr>
          <w:rFonts w:hint="eastAsia" w:ascii="黑体" w:hAnsi="黑体" w:eastAsia="黑体"/>
          <w:szCs w:val="44"/>
        </w:rPr>
      </w:pPr>
    </w:p>
    <w:p>
      <w:pPr>
        <w:keepNext w:val="0"/>
        <w:keepLines w:val="0"/>
        <w:pageBreakBefore w:val="0"/>
        <w:widowControl/>
        <w:numPr>
          <w:ilvl w:val="0"/>
          <w:numId w:val="4"/>
        </w:numPr>
        <w:kinsoku/>
        <w:wordWrap/>
        <w:overflowPunct/>
        <w:topLinePunct w:val="0"/>
        <w:autoSpaceDE/>
        <w:autoSpaceDN/>
        <w:bidi w:val="0"/>
        <w:spacing w:line="578" w:lineRule="exact"/>
        <w:ind w:left="1650" w:leftChars="0" w:firstLine="660" w:firstLineChars="0"/>
        <w:contextualSpacing/>
        <w:jc w:val="both"/>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eastAsia" w:eastAsia="方正小标宋简体" w:cs="Times New Roman"/>
          <w:b w:val="0"/>
          <w:bCs/>
          <w:sz w:val="44"/>
          <w:szCs w:val="44"/>
          <w:highlight w:val="none"/>
          <w:shd w:val="clear" w:color="auto" w:fill="FFFFFF"/>
          <w:lang w:val="en-US" w:eastAsia="zh-CN"/>
        </w:rPr>
        <w:t xml:space="preserve"> </w:t>
      </w:r>
      <w:r>
        <w:rPr>
          <w:rFonts w:hint="eastAsia" w:ascii="黑体" w:hAnsi="黑体" w:eastAsia="黑体" w:cs="黑体"/>
          <w:b w:val="0"/>
          <w:bCs/>
          <w:sz w:val="44"/>
          <w:szCs w:val="44"/>
          <w:highlight w:val="none"/>
          <w:shd w:val="clear" w:color="auto" w:fill="FFFFFF"/>
          <w:lang w:val="en-US" w:eastAsia="zh-CN"/>
        </w:rPr>
        <w:t>附件</w:t>
      </w:r>
      <w:r>
        <w:rPr>
          <w:rFonts w:hint="eastAsia" w:eastAsia="方正小标宋简体" w:cs="Times New Roman"/>
          <w:b w:val="0"/>
          <w:bCs/>
          <w:sz w:val="44"/>
          <w:szCs w:val="44"/>
          <w:highlight w:val="none"/>
          <w:shd w:val="clear" w:color="auto" w:fill="FFFFFF"/>
          <w:lang w:val="en-US" w:eastAsia="zh-CN"/>
        </w:rPr>
        <w:t xml:space="preserve"> </w:t>
      </w:r>
    </w:p>
    <w:p>
      <w:pPr>
        <w:keepNext w:val="0"/>
        <w:keepLines w:val="0"/>
        <w:pageBreakBefore w:val="0"/>
        <w:widowControl/>
        <w:numPr>
          <w:numId w:val="0"/>
        </w:numPr>
        <w:kinsoku/>
        <w:wordWrap/>
        <w:overflowPunct/>
        <w:topLinePunct w:val="0"/>
        <w:autoSpaceDE/>
        <w:autoSpaceDN/>
        <w:bidi w:val="0"/>
        <w:spacing w:line="578" w:lineRule="exact"/>
        <w:ind w:firstLine="2200" w:firstLineChars="500"/>
        <w:contextualSpacing/>
        <w:jc w:val="both"/>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pStyle w:val="2"/>
        <w:rPr>
          <w:rFonts w:hint="default"/>
        </w:rPr>
      </w:pPr>
    </w:p>
    <w:p>
      <w:pPr>
        <w:keepNext w:val="0"/>
        <w:keepLines w:val="0"/>
        <w:pageBreakBefore w:val="0"/>
        <w:widowControl/>
        <w:numPr>
          <w:numId w:val="0"/>
        </w:numPr>
        <w:kinsoku/>
        <w:wordWrap/>
        <w:overflowPunct/>
        <w:topLinePunct w:val="0"/>
        <w:autoSpaceDE/>
        <w:autoSpaceDN/>
        <w:bidi w:val="0"/>
        <w:spacing w:line="578" w:lineRule="exact"/>
        <w:ind w:firstLine="2200" w:firstLineChars="500"/>
        <w:contextualSpacing/>
        <w:jc w:val="both"/>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黑体" w:hAnsi="黑体" w:eastAsia="黑体" w:cs="黑体"/>
          <w:sz w:val="32"/>
          <w:szCs w:val="32"/>
        </w:rPr>
      </w:pPr>
      <w:r>
        <w:rPr>
          <w:rFonts w:hint="eastAsia" w:ascii="黑体" w:hAnsi="黑体" w:eastAsia="黑体" w:cs="黑体"/>
          <w:color w:val="000000"/>
          <w:kern w:val="0"/>
          <w:sz w:val="32"/>
          <w:szCs w:val="32"/>
          <w:highlight w:val="none"/>
          <w:shd w:val="clear" w:color="auto" w:fill="FFFFFF"/>
          <w:lang w:val="zh-CN"/>
        </w:rPr>
        <w:t>一、部门（单位）基本情况</w:t>
      </w:r>
    </w:p>
    <w:p>
      <w:pPr>
        <w:keepNext w:val="0"/>
        <w:keepLines w:val="0"/>
        <w:pageBreakBefore w:val="0"/>
        <w:numPr>
          <w:ilvl w:val="0"/>
          <w:numId w:val="0"/>
        </w:numPr>
        <w:kinsoku/>
        <w:wordWrap/>
        <w:overflowPunct/>
        <w:topLinePunct w:val="0"/>
        <w:autoSpaceDE/>
        <w:autoSpaceDN/>
        <w:bidi w:val="0"/>
        <w:spacing w:before="93" w:beforeLines="0" w:afterLines="0"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highlight w:val="none"/>
          <w:shd w:val="clear" w:color="auto" w:fill="FFFFFF"/>
          <w:lang w:val="zh-CN"/>
        </w:rPr>
        <w:t>（一）机构组成。</w:t>
      </w:r>
      <w:r>
        <w:rPr>
          <w:rFonts w:hint="eastAsia" w:ascii="仿宋_GB2312" w:hAnsi="仿宋_GB2312" w:eastAsia="仿宋_GB2312" w:cs="仿宋_GB2312"/>
          <w:color w:val="auto"/>
          <w:kern w:val="2"/>
          <w:sz w:val="32"/>
          <w:szCs w:val="32"/>
          <w:lang w:val="zh-CN" w:eastAsia="zh-CN"/>
        </w:rPr>
        <w:t>泸县社会保险事业管理局是隶属于泸县人力资源和社会保障局的一级预算单位，为全额拨款的参公事业单位，内设机构</w:t>
      </w:r>
      <w:r>
        <w:rPr>
          <w:rFonts w:hint="eastAsia" w:ascii="仿宋_GB2312" w:hAnsi="仿宋_GB2312" w:eastAsia="仿宋_GB2312" w:cs="仿宋_GB2312"/>
          <w:color w:val="auto"/>
          <w:kern w:val="2"/>
          <w:sz w:val="32"/>
          <w:szCs w:val="32"/>
          <w:lang w:val="en-US" w:eastAsia="zh-CN"/>
        </w:rPr>
        <w:t>8个，分别是办公室、基金管理股、审计监督股、机关事业单位养老保险管理股、退休人员管理股、综合业务一股、综合业务二股、综合业务审核股。无下属单位。</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b/>
          <w:bCs/>
          <w:color w:val="000000"/>
          <w:kern w:val="0"/>
          <w:sz w:val="32"/>
          <w:szCs w:val="32"/>
          <w:highlight w:val="none"/>
          <w:shd w:val="clear" w:color="auto" w:fill="FFFFFF"/>
          <w:lang w:val="zh-CN"/>
        </w:rPr>
        <w:t>（二）机构职能。</w:t>
      </w:r>
      <w:r>
        <w:rPr>
          <w:rFonts w:hint="eastAsia" w:ascii="仿宋_GB2312" w:hAnsi="仿宋_GB2312" w:eastAsia="仿宋_GB2312" w:cs="仿宋_GB2312"/>
          <w:color w:val="000000"/>
          <w:kern w:val="2"/>
          <w:sz w:val="32"/>
          <w:szCs w:val="32"/>
          <w:lang w:val="en-US" w:eastAsia="zh-CN" w:bidi="ar-SA"/>
        </w:rPr>
        <w:t>贯彻执行国家和省市养老保险、工伤保险相关法律、法规、规章和政策，按照国家有关法律、法规、规章和政策履行社会保险经办工作职责。承担社会保险稽核、领取社会保险待遇资格认证、社会保险基金反欺诈以及社会保险经办体系内部审计工作。承担企业职工基本养老保险、机关事业单位养老保险、职业年金、工伤保险基金的收入、支出和管理工作。负责全县企业职工基本养老保险、机关事业单位养老保险、工伤保险的参保登记、扩面、人员增减、缴费申报工作。负责全县企业职工基本养老保险、机关事业单位养老保险、工伤保险关系的转移接续工作。负责全县企业职工基本养老保险、机关事业单位养老保险、工伤保险待遇核定、社会化发放及调整工作。负责职工养老保险退休人员社会化管理服务的组织、指导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b/>
          <w:bCs/>
          <w:color w:val="000000"/>
          <w:kern w:val="0"/>
          <w:sz w:val="32"/>
          <w:szCs w:val="32"/>
          <w:highlight w:val="none"/>
          <w:shd w:val="clear" w:color="auto" w:fill="FFFFFF"/>
          <w:lang w:val="zh-CN"/>
        </w:rPr>
        <w:t>（三）人员概况</w:t>
      </w:r>
      <w:r>
        <w:rPr>
          <w:rFonts w:hint="eastAsia" w:ascii="仿宋_GB2312" w:hAnsi="仿宋_GB2312" w:eastAsia="仿宋_GB2312" w:cs="仿宋_GB2312"/>
          <w:b/>
          <w:bCs/>
          <w:color w:val="auto"/>
          <w:kern w:val="0"/>
          <w:sz w:val="32"/>
          <w:szCs w:val="32"/>
          <w:highlight w:val="none"/>
          <w:shd w:val="clear" w:color="auto" w:fill="FFFFFF"/>
          <w:lang w:val="zh-CN"/>
        </w:rPr>
        <w:t>。</w:t>
      </w: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年末，</w:t>
      </w:r>
      <w:r>
        <w:rPr>
          <w:rFonts w:hint="eastAsia" w:ascii="仿宋_GB2312" w:hAnsi="仿宋_GB2312" w:eastAsia="仿宋_GB2312" w:cs="仿宋_GB2312"/>
          <w:color w:val="auto"/>
          <w:sz w:val="32"/>
          <w:szCs w:val="32"/>
          <w:lang w:eastAsia="zh-CN"/>
        </w:rPr>
        <w:t>泸县社会保险事业管理局</w:t>
      </w:r>
      <w:r>
        <w:rPr>
          <w:rFonts w:hint="eastAsia" w:ascii="仿宋_GB2312" w:hAnsi="仿宋_GB2312" w:eastAsia="仿宋_GB2312" w:cs="仿宋_GB2312"/>
          <w:color w:val="auto"/>
          <w:sz w:val="32"/>
          <w:szCs w:val="32"/>
          <w:lang w:val="en-US" w:eastAsia="zh-CN"/>
        </w:rPr>
        <w:t>核定总</w:t>
      </w:r>
      <w:r>
        <w:rPr>
          <w:rFonts w:hint="eastAsia" w:ascii="仿宋_GB2312" w:hAnsi="仿宋_GB2312" w:eastAsia="仿宋_GB2312" w:cs="仿宋_GB2312"/>
          <w:color w:val="auto"/>
          <w:sz w:val="32"/>
          <w:szCs w:val="32"/>
          <w:lang w:eastAsia="zh-CN"/>
        </w:rPr>
        <w:t>编制数</w:t>
      </w:r>
      <w:r>
        <w:rPr>
          <w:rFonts w:hint="eastAsia" w:ascii="仿宋_GB2312" w:hAnsi="仿宋_GB2312" w:eastAsia="仿宋_GB2312" w:cs="仿宋_GB2312"/>
          <w:color w:val="auto"/>
          <w:sz w:val="32"/>
          <w:szCs w:val="32"/>
          <w:lang w:val="en-US" w:eastAsia="zh-CN"/>
        </w:rPr>
        <w:t>42个，2023年期间，调入1人，新进1人，调出1人，退休1人，</w:t>
      </w:r>
      <w:r>
        <w:rPr>
          <w:rFonts w:hint="eastAsia" w:ascii="仿宋_GB2312" w:hAnsi="仿宋_GB2312" w:eastAsia="仿宋_GB2312" w:cs="仿宋_GB2312"/>
          <w:color w:val="auto"/>
          <w:sz w:val="32"/>
          <w:szCs w:val="32"/>
        </w:rPr>
        <w:t>年末实有人数</w:t>
      </w:r>
      <w:r>
        <w:rPr>
          <w:rFonts w:hint="eastAsia" w:ascii="仿宋_GB2312" w:hAnsi="仿宋_GB2312" w:eastAsia="仿宋_GB2312" w:cs="仿宋_GB2312"/>
          <w:color w:val="auto"/>
          <w:sz w:val="32"/>
          <w:szCs w:val="32"/>
          <w:lang w:val="en-US" w:eastAsia="zh-CN"/>
        </w:rPr>
        <w:t>40人，其中参公人数35个，行政工勤人数5个。</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lang w:val="zh-CN"/>
        </w:rPr>
        <w:t>二、</w:t>
      </w:r>
      <w:r>
        <w:rPr>
          <w:rFonts w:hint="eastAsia" w:ascii="黑体" w:hAnsi="黑体" w:eastAsia="黑体" w:cs="黑体"/>
          <w:color w:val="000000"/>
          <w:kern w:val="0"/>
          <w:sz w:val="32"/>
          <w:szCs w:val="32"/>
          <w:highlight w:val="none"/>
          <w:shd w:val="clear" w:color="auto" w:fill="FFFFFF"/>
          <w:lang w:val="zh-CN" w:eastAsia="zh-CN"/>
        </w:rPr>
        <w:t>部门</w:t>
      </w:r>
      <w:r>
        <w:rPr>
          <w:rFonts w:hint="eastAsia" w:ascii="黑体" w:hAnsi="黑体" w:eastAsia="黑体" w:cs="黑体"/>
          <w:color w:val="000000"/>
          <w:kern w:val="0"/>
          <w:sz w:val="32"/>
          <w:szCs w:val="32"/>
          <w:highlight w:val="none"/>
          <w:shd w:val="clear" w:color="auto" w:fill="FFFFFF"/>
          <w:lang w:val="zh-CN"/>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0"/>
          <w:sz w:val="32"/>
          <w:szCs w:val="32"/>
          <w:highlight w:val="none"/>
          <w:shd w:val="clear" w:color="auto" w:fill="FFFFFF"/>
          <w:lang w:val="zh-CN"/>
        </w:rPr>
        <w:t>（一）收入情况。</w:t>
      </w:r>
      <w:r>
        <w:rPr>
          <w:rFonts w:hint="eastAsia" w:ascii="仿宋_GB2312" w:hAnsi="仿宋_GB2312" w:eastAsia="仿宋_GB2312" w:cs="仿宋_GB2312"/>
          <w:color w:val="000000"/>
          <w:kern w:val="2"/>
          <w:sz w:val="32"/>
          <w:szCs w:val="32"/>
          <w:lang w:val="zh-CN" w:eastAsia="zh-CN" w:bidi="ar-SA"/>
        </w:rPr>
        <w:t>泸县社会保险事业管理局</w:t>
      </w:r>
      <w:r>
        <w:rPr>
          <w:rFonts w:hint="eastAsia" w:ascii="仿宋_GB2312" w:hAnsi="仿宋_GB2312" w:eastAsia="仿宋_GB2312" w:cs="仿宋_GB2312"/>
          <w:color w:val="000000"/>
          <w:kern w:val="2"/>
          <w:sz w:val="32"/>
          <w:szCs w:val="32"/>
          <w:lang w:val="en-US" w:eastAsia="zh-CN" w:bidi="ar-SA"/>
        </w:rPr>
        <w:t>2023年年初预算收入992.99万元、决算报表收入1317.69万元。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color w:val="000000"/>
          <w:kern w:val="0"/>
          <w:sz w:val="32"/>
          <w:szCs w:val="32"/>
          <w:highlight w:val="none"/>
          <w:shd w:val="clear" w:color="auto" w:fill="FFFFFF"/>
          <w:lang w:val="zh-CN"/>
        </w:rPr>
        <w:t>（二）支出情况。</w:t>
      </w:r>
      <w:r>
        <w:rPr>
          <w:rFonts w:hint="eastAsia" w:ascii="仿宋_GB2312" w:hAnsi="仿宋_GB2312" w:eastAsia="仿宋_GB2312" w:cs="仿宋_GB2312"/>
          <w:color w:val="000000"/>
          <w:kern w:val="2"/>
          <w:sz w:val="32"/>
          <w:szCs w:val="32"/>
          <w:lang w:val="zh-CN" w:eastAsia="zh-CN" w:bidi="ar-SA"/>
        </w:rPr>
        <w:t>泸县社会保险事业管理局</w:t>
      </w:r>
      <w:r>
        <w:rPr>
          <w:rFonts w:hint="eastAsia" w:ascii="仿宋_GB2312" w:hAnsi="仿宋_GB2312" w:eastAsia="仿宋_GB2312" w:cs="仿宋_GB2312"/>
          <w:sz w:val="32"/>
          <w:szCs w:val="32"/>
          <w:lang w:val="en-US" w:eastAsia="zh-CN"/>
        </w:rPr>
        <w:t>2023年年初预算支出</w:t>
      </w:r>
      <w:r>
        <w:rPr>
          <w:rFonts w:hint="eastAsia" w:ascii="仿宋_GB2312" w:hAnsi="仿宋_GB2312" w:eastAsia="仿宋_GB2312" w:cs="仿宋_GB2312"/>
          <w:color w:val="000000"/>
          <w:kern w:val="2"/>
          <w:sz w:val="32"/>
          <w:szCs w:val="32"/>
          <w:lang w:val="en-US" w:eastAsia="zh-CN" w:bidi="ar-SA"/>
        </w:rPr>
        <w:t>992.99万元</w:t>
      </w:r>
      <w:r>
        <w:rPr>
          <w:rFonts w:hint="eastAsia" w:ascii="仿宋_GB2312" w:hAnsi="仿宋_GB2312" w:eastAsia="仿宋_GB2312" w:cs="仿宋_GB2312"/>
          <w:sz w:val="32"/>
          <w:szCs w:val="32"/>
          <w:lang w:val="en-US" w:eastAsia="zh-CN"/>
        </w:rPr>
        <w:t>、决算报表支出</w:t>
      </w:r>
      <w:r>
        <w:rPr>
          <w:rFonts w:hint="eastAsia" w:ascii="仿宋_GB2312" w:hAnsi="仿宋_GB2312" w:eastAsia="仿宋_GB2312" w:cs="仿宋_GB2312"/>
          <w:color w:val="000000"/>
          <w:kern w:val="2"/>
          <w:sz w:val="32"/>
          <w:szCs w:val="32"/>
          <w:lang w:val="en-US" w:eastAsia="zh-CN" w:bidi="ar-SA"/>
        </w:rPr>
        <w:t>1317.69万元。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zh-CN" w:eastAsia="zh-CN"/>
        </w:rPr>
      </w:pPr>
      <w:r>
        <w:rPr>
          <w:rFonts w:hint="eastAsia" w:ascii="仿宋_GB2312" w:hAnsi="仿宋_GB2312" w:eastAsia="仿宋_GB2312" w:cs="仿宋_GB2312"/>
          <w:b/>
          <w:bCs/>
          <w:color w:val="000000"/>
          <w:kern w:val="0"/>
          <w:sz w:val="32"/>
          <w:szCs w:val="32"/>
          <w:highlight w:val="none"/>
          <w:shd w:val="clear" w:color="auto" w:fill="FFFFFF"/>
          <w:lang w:val="zh-CN"/>
        </w:rPr>
        <w:t>（三）</w:t>
      </w:r>
      <w:r>
        <w:rPr>
          <w:rFonts w:hint="eastAsia" w:ascii="仿宋_GB2312" w:hAnsi="仿宋_GB2312" w:eastAsia="仿宋_GB2312" w:cs="仿宋_GB2312"/>
          <w:b/>
          <w:sz w:val="32"/>
          <w:szCs w:val="32"/>
        </w:rPr>
        <w:t>结余分配和结转结余情况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kern w:val="2"/>
          <w:sz w:val="32"/>
          <w:szCs w:val="32"/>
          <w:lang w:val="zh-CN" w:eastAsia="zh-CN" w:bidi="ar-SA"/>
        </w:rPr>
        <w:t>泸县社会保险事业管理局</w:t>
      </w:r>
      <w:r>
        <w:rPr>
          <w:rFonts w:hint="eastAsia" w:ascii="仿宋_GB2312" w:hAnsi="仿宋_GB2312" w:eastAsia="仿宋_GB2312" w:cs="仿宋_GB2312"/>
          <w:sz w:val="32"/>
          <w:szCs w:val="32"/>
          <w:lang w:val="en-US" w:eastAsia="zh-CN"/>
        </w:rPr>
        <w:t>2023年决算报表无</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黑体" w:hAnsi="黑体" w:eastAsia="黑体" w:cs="黑体"/>
          <w:color w:val="000000"/>
          <w:kern w:val="0"/>
          <w:sz w:val="32"/>
          <w:szCs w:val="32"/>
          <w:highlight w:val="none"/>
          <w:shd w:val="clear" w:color="auto" w:fill="FFFFFF"/>
          <w:lang w:val="zh-CN"/>
        </w:rPr>
      </w:pPr>
      <w:r>
        <w:rPr>
          <w:rFonts w:hint="eastAsia" w:ascii="黑体" w:hAnsi="黑体" w:eastAsia="黑体" w:cs="黑体"/>
          <w:color w:val="000000"/>
          <w:kern w:val="0"/>
          <w:sz w:val="32"/>
          <w:szCs w:val="32"/>
          <w:highlight w:val="none"/>
          <w:shd w:val="clear" w:color="auto" w:fill="FFFFFF"/>
          <w:lang w:val="zh-CN"/>
        </w:rPr>
        <w:t>三、部门</w:t>
      </w:r>
      <w:r>
        <w:rPr>
          <w:rFonts w:hint="eastAsia" w:ascii="黑体" w:hAnsi="黑体" w:eastAsia="黑体" w:cs="黑体"/>
          <w:color w:val="000000"/>
          <w:kern w:val="0"/>
          <w:sz w:val="32"/>
          <w:szCs w:val="32"/>
          <w:highlight w:val="none"/>
          <w:shd w:val="clear" w:color="auto" w:fill="FFFFFF"/>
          <w:lang w:val="zh-CN" w:eastAsia="zh-CN"/>
        </w:rPr>
        <w:t>预算</w:t>
      </w:r>
      <w:r>
        <w:rPr>
          <w:rFonts w:hint="eastAsia" w:ascii="黑体" w:hAnsi="黑体" w:eastAsia="黑体" w:cs="黑体"/>
          <w:color w:val="000000"/>
          <w:kern w:val="0"/>
          <w:sz w:val="32"/>
          <w:szCs w:val="32"/>
          <w:highlight w:val="none"/>
          <w:shd w:val="clear" w:color="auto" w:fill="FFFFFF"/>
          <w:lang w:val="zh-CN"/>
        </w:rPr>
        <w:t>绩效</w:t>
      </w:r>
      <w:r>
        <w:rPr>
          <w:rFonts w:hint="eastAsia" w:ascii="黑体" w:hAnsi="黑体" w:eastAsia="黑体" w:cs="黑体"/>
          <w:color w:val="000000"/>
          <w:kern w:val="0"/>
          <w:sz w:val="32"/>
          <w:szCs w:val="32"/>
          <w:highlight w:val="none"/>
          <w:shd w:val="clear" w:color="auto" w:fill="FFFFFF"/>
          <w:lang w:val="zh-CN" w:eastAsia="zh-CN"/>
        </w:rPr>
        <w:t>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（一）部门预算总体绩效分析。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b/>
          <w:bCs/>
          <w:color w:val="FF0000"/>
          <w:sz w:val="32"/>
          <w:szCs w:val="32"/>
          <w:lang w:val="en-US"/>
        </w:rPr>
      </w:pPr>
      <w:r>
        <w:rPr>
          <w:rFonts w:hint="eastAsia" w:ascii="仿宋_GB2312" w:hAnsi="仿宋_GB2312" w:eastAsia="仿宋_GB2312" w:cs="仿宋_GB2312"/>
          <w:color w:val="000000"/>
          <w:kern w:val="0"/>
          <w:sz w:val="32"/>
          <w:szCs w:val="32"/>
          <w:highlight w:val="none"/>
          <w:shd w:val="clear" w:color="auto" w:fill="FFFFFF"/>
          <w:lang w:val="en-US" w:eastAsia="zh-CN"/>
        </w:rPr>
        <w:t>1.</w:t>
      </w:r>
      <w:r>
        <w:rPr>
          <w:rFonts w:hint="eastAsia" w:ascii="仿宋_GB2312" w:hAnsi="仿宋_GB2312" w:eastAsia="仿宋_GB2312" w:cs="仿宋_GB2312"/>
          <w:color w:val="000000"/>
          <w:kern w:val="0"/>
          <w:sz w:val="32"/>
          <w:szCs w:val="32"/>
          <w:highlight w:val="none"/>
          <w:shd w:val="clear" w:color="auto" w:fill="FFFFFF"/>
          <w:lang w:val="zh-CN"/>
        </w:rPr>
        <w:t>履职效能。</w:t>
      </w:r>
      <w:r>
        <w:rPr>
          <w:rFonts w:hint="eastAsia" w:ascii="仿宋_GB2312" w:hAnsi="仿宋_GB2312" w:eastAsia="仿宋_GB2312" w:cs="仿宋_GB2312"/>
          <w:color w:val="auto"/>
          <w:sz w:val="32"/>
          <w:szCs w:val="32"/>
          <w:lang w:val="en-US" w:eastAsia="zh-CN"/>
        </w:rPr>
        <w:t>泸县社保局</w:t>
      </w:r>
      <w:r>
        <w:rPr>
          <w:rFonts w:hint="eastAsia" w:ascii="仿宋_GB2312" w:hAnsi="仿宋_GB2312" w:eastAsia="仿宋_GB2312" w:cs="仿宋_GB2312"/>
          <w:color w:val="auto"/>
          <w:sz w:val="32"/>
          <w:szCs w:val="32"/>
          <w:lang w:val="zh-CN"/>
        </w:rPr>
        <w:t>始终秉承着以人民为中心的理念，确保各项工作稳中有进，圆满完成年初既定目标，</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lang w:val="zh-CN"/>
        </w:rPr>
        <w:t>先后承接全省社保基金管理提升年行动交叉评估，人社部社保基金管理省级交叉检查，顺利承办全市参保扩面工作推荐会。</w:t>
      </w:r>
      <w:r>
        <w:rPr>
          <w:rFonts w:hint="eastAsia" w:ascii="仿宋_GB2312" w:hAnsi="仿宋_GB2312" w:eastAsia="仿宋_GB2312" w:cs="仿宋_GB2312"/>
          <w:color w:val="auto"/>
          <w:sz w:val="32"/>
          <w:szCs w:val="32"/>
          <w:lang w:val="en-US" w:eastAsia="zh-CN"/>
        </w:rPr>
        <w:t>2023年，我县企业职工基本养老保险新增参保缴费4635人，在职参保9.15万人，征缴基金8.2亿元。工伤保险新参保5345人，全县工伤保险参保人数6.3万人，征缴基金1468万元，在建项目参保率100%。社保业务办理“川渝通办”事项600余件、“公民退休一件事”一次办21件，社保业务自助经办率90%以上，资格认证手机自助认证率达99.92%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lang w:val="zh-CN"/>
        </w:rPr>
        <w:t>预算管理。</w:t>
      </w:r>
      <w:r>
        <w:rPr>
          <w:rFonts w:hint="eastAsia" w:ascii="仿宋_GB2312" w:hAnsi="仿宋_GB2312" w:eastAsia="仿宋_GB2312" w:cs="仿宋_GB2312"/>
          <w:color w:val="auto"/>
          <w:sz w:val="32"/>
          <w:szCs w:val="32"/>
          <w:lang w:val="zh-CN"/>
        </w:rPr>
        <w:t>年初预算严格按照预算编制方案进行编制，以标准明确、实事求是、科学合理、流程合规为原则，把涉及政府预算安排的所有收支均统一纳入预算监管、编制范围，提高财政预算的全面性和完整性。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zh-CN"/>
        </w:rPr>
        <w:t>财务管理。</w:t>
      </w:r>
      <w:r>
        <w:rPr>
          <w:rFonts w:hint="eastAsia" w:ascii="仿宋_GB2312" w:hAnsi="仿宋_GB2312" w:eastAsia="仿宋_GB2312" w:cs="仿宋_GB2312"/>
          <w:color w:val="auto"/>
          <w:sz w:val="32"/>
          <w:szCs w:val="32"/>
          <w:lang w:val="zh-CN"/>
        </w:rPr>
        <w:t>严格执行国家规定的开支范围及标准，遵守单位财务管理制度，做到不擅自扩大开支范围、提高开支标准。资金审批使用严格执行单位内部控制制度。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4.</w:t>
      </w:r>
      <w:r>
        <w:rPr>
          <w:rFonts w:hint="eastAsia" w:ascii="仿宋_GB2312" w:hAnsi="仿宋_GB2312" w:eastAsia="仿宋_GB2312" w:cs="仿宋_GB2312"/>
          <w:color w:val="000000"/>
          <w:kern w:val="0"/>
          <w:sz w:val="32"/>
          <w:szCs w:val="32"/>
          <w:highlight w:val="none"/>
          <w:shd w:val="clear" w:color="auto" w:fill="FFFFFF"/>
          <w:lang w:val="zh-CN"/>
        </w:rPr>
        <w:t>资产管理。</w:t>
      </w:r>
      <w:r>
        <w:rPr>
          <w:rFonts w:hint="eastAsia" w:ascii="仿宋_GB2312" w:hAnsi="仿宋_GB2312" w:eastAsia="仿宋_GB2312" w:cs="仿宋_GB2312"/>
          <w:color w:val="auto"/>
          <w:sz w:val="32"/>
          <w:szCs w:val="32"/>
          <w:lang w:val="zh-CN"/>
        </w:rPr>
        <w:t>遵守单位资产管理制度，明确资产使用人和管理人的岗位责任，按规定设置国有资产台账，加强和规范资产配置、使用和处置管理，维护资产安全完整。</w:t>
      </w:r>
      <w:r>
        <w:rPr>
          <w:rFonts w:hint="eastAsia" w:ascii="仿宋_GB2312" w:hAnsi="仿宋_GB2312" w:eastAsia="仿宋_GB2312" w:cs="仿宋_GB2312"/>
          <w:color w:val="auto"/>
          <w:sz w:val="32"/>
          <w:szCs w:val="32"/>
          <w:lang w:val="en-US" w:eastAsia="zh-CN"/>
        </w:rPr>
        <w:t>2023年，我单位新增1台投影仪、1台多功能打</w:t>
      </w:r>
      <w:bookmarkStart w:id="101" w:name="_GoBack"/>
      <w:bookmarkEnd w:id="101"/>
      <w:r>
        <w:rPr>
          <w:rFonts w:hint="eastAsia" w:ascii="仿宋_GB2312" w:hAnsi="仿宋_GB2312" w:eastAsia="仿宋_GB2312" w:cs="仿宋_GB2312"/>
          <w:color w:val="auto"/>
          <w:sz w:val="32"/>
          <w:szCs w:val="32"/>
          <w:lang w:val="en-US" w:eastAsia="zh-CN"/>
        </w:rPr>
        <w:t>印机、2台厨余设备，均按要求纳入资产系统管理。</w:t>
      </w:r>
      <w:r>
        <w:rPr>
          <w:rFonts w:hint="eastAsia" w:ascii="仿宋_GB2312" w:hAnsi="仿宋_GB2312" w:eastAsia="仿宋_GB2312" w:cs="仿宋_GB2312"/>
          <w:sz w:val="32"/>
          <w:szCs w:val="32"/>
          <w:lang w:val="zh-CN"/>
        </w:rPr>
        <w:t>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zh-CN"/>
        </w:rPr>
        <w:t>无闲置资产。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5.</w:t>
      </w:r>
      <w:r>
        <w:rPr>
          <w:rFonts w:hint="eastAsia" w:ascii="仿宋_GB2312" w:hAnsi="仿宋_GB2312" w:eastAsia="仿宋_GB2312" w:cs="仿宋_GB2312"/>
          <w:color w:val="000000"/>
          <w:kern w:val="0"/>
          <w:sz w:val="32"/>
          <w:szCs w:val="32"/>
          <w:highlight w:val="none"/>
          <w:shd w:val="clear" w:color="auto" w:fill="FFFFFF"/>
          <w:lang w:val="zh-CN"/>
        </w:rPr>
        <w:t>采购管理。</w:t>
      </w:r>
      <w:r>
        <w:rPr>
          <w:rFonts w:hint="eastAsia" w:ascii="仿宋_GB2312" w:hAnsi="仿宋_GB2312" w:eastAsia="仿宋_GB2312" w:cs="仿宋_GB2312"/>
          <w:color w:val="auto"/>
          <w:sz w:val="32"/>
          <w:szCs w:val="32"/>
          <w:lang w:val="en-US" w:eastAsia="zh-CN"/>
        </w:rPr>
        <w:t>2023年，我单位采购货物支出60.86万元，面向中小企业采购59.16万元，占比达97.2%。</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zh-CN"/>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常年项目绩效分析。</w:t>
      </w:r>
      <w:r>
        <w:rPr>
          <w:rFonts w:hint="eastAsia" w:ascii="仿宋_GB2312" w:hAnsi="仿宋_GB2312" w:eastAsia="仿宋_GB2312" w:cs="仿宋_GB2312"/>
          <w:color w:val="000000"/>
          <w:kern w:val="0"/>
          <w:sz w:val="32"/>
          <w:szCs w:val="32"/>
          <w:highlight w:val="none"/>
          <w:shd w:val="clear" w:color="auto" w:fill="FFFFFF"/>
          <w:lang w:val="zh-CN" w:eastAsia="zh-CN"/>
        </w:rPr>
        <w:t>该类项目总数</w:t>
      </w:r>
      <w:r>
        <w:rPr>
          <w:rFonts w:hint="eastAsia" w:ascii="仿宋_GB2312" w:hAnsi="仿宋_GB2312" w:eastAsia="仿宋_GB2312" w:cs="仿宋_GB2312"/>
          <w:color w:val="000000"/>
          <w:kern w:val="0"/>
          <w:sz w:val="32"/>
          <w:szCs w:val="32"/>
          <w:highlight w:val="none"/>
          <w:shd w:val="clear" w:color="auto" w:fill="FFFFFF"/>
          <w:lang w:val="en-US" w:eastAsia="zh-CN"/>
        </w:rPr>
        <w:t>7</w:t>
      </w:r>
      <w:r>
        <w:rPr>
          <w:rFonts w:hint="eastAsia" w:ascii="仿宋_GB2312" w:hAnsi="仿宋_GB2312" w:eastAsia="仿宋_GB2312" w:cs="仿宋_GB2312"/>
          <w:color w:val="000000"/>
          <w:kern w:val="0"/>
          <w:sz w:val="32"/>
          <w:szCs w:val="32"/>
          <w:highlight w:val="none"/>
          <w:shd w:val="clear" w:color="auto" w:fill="FFFFFF"/>
          <w:lang w:val="zh-CN" w:eastAsia="zh-CN"/>
        </w:rPr>
        <w:t>个，涉及预算总金额</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   459.3</w:t>
      </w:r>
      <w:r>
        <w:rPr>
          <w:rFonts w:hint="eastAsia" w:ascii="仿宋_GB2312" w:hAnsi="仿宋_GB2312" w:eastAsia="仿宋_GB2312" w:cs="仿宋_GB2312"/>
          <w:color w:val="000000"/>
          <w:kern w:val="0"/>
          <w:sz w:val="32"/>
          <w:szCs w:val="32"/>
          <w:highlight w:val="none"/>
          <w:shd w:val="clear" w:color="auto" w:fill="FFFFFF"/>
          <w:lang w:val="zh-CN" w:eastAsia="zh-CN"/>
        </w:rPr>
        <w:t>万元，</w:t>
      </w:r>
      <w:r>
        <w:rPr>
          <w:rFonts w:hint="eastAsia" w:ascii="仿宋_GB2312" w:hAnsi="仿宋_GB2312" w:eastAsia="仿宋_GB2312" w:cs="仿宋_GB2312"/>
          <w:color w:val="000000"/>
          <w:kern w:val="0"/>
          <w:sz w:val="32"/>
          <w:szCs w:val="32"/>
          <w:highlight w:val="none"/>
          <w:shd w:val="clear" w:color="auto" w:fill="FFFFFF"/>
          <w:lang w:val="zh-CN"/>
        </w:rPr>
        <w:t>1</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color w:val="000000"/>
          <w:kern w:val="0"/>
          <w:sz w:val="32"/>
          <w:szCs w:val="32"/>
          <w:highlight w:val="none"/>
          <w:shd w:val="clear" w:color="auto" w:fill="FFFFFF"/>
          <w:lang w:val="zh-CN"/>
        </w:rPr>
        <w:t>1</w:t>
      </w: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lang w:val="zh-CN"/>
        </w:rPr>
        <w:t>月预算执行总体进度为</w:t>
      </w:r>
      <w:r>
        <w:rPr>
          <w:rFonts w:hint="eastAsia" w:ascii="仿宋_GB2312" w:hAnsi="仿宋_GB2312" w:eastAsia="仿宋_GB2312" w:cs="仿宋_GB2312"/>
          <w:color w:val="000000"/>
          <w:kern w:val="0"/>
          <w:sz w:val="32"/>
          <w:szCs w:val="32"/>
          <w:highlight w:val="none"/>
          <w:shd w:val="clear" w:color="auto" w:fill="FFFFFF"/>
          <w:lang w:val="en-US" w:eastAsia="zh-CN"/>
        </w:rPr>
        <w:t>99.38</w:t>
      </w:r>
      <w:r>
        <w:rPr>
          <w:rFonts w:hint="eastAsia" w:ascii="仿宋_GB2312" w:hAnsi="仿宋_GB2312" w:eastAsia="仿宋_GB2312" w:cs="仿宋_GB2312"/>
          <w:color w:val="000000"/>
          <w:kern w:val="0"/>
          <w:sz w:val="32"/>
          <w:szCs w:val="32"/>
          <w:highlight w:val="none"/>
          <w:shd w:val="clear" w:color="auto" w:fill="FFFFFF"/>
          <w:lang w:val="zh-CN"/>
        </w:rPr>
        <w:t>%，其中：</w:t>
      </w:r>
      <w:r>
        <w:rPr>
          <w:rFonts w:hint="eastAsia" w:ascii="仿宋_GB2312" w:hAnsi="仿宋_GB2312" w:eastAsia="仿宋_GB2312" w:cs="仿宋_GB2312"/>
          <w:color w:val="000000"/>
          <w:kern w:val="0"/>
          <w:sz w:val="32"/>
          <w:szCs w:val="32"/>
          <w:highlight w:val="none"/>
          <w:shd w:val="clear" w:color="auto" w:fill="FFFFFF"/>
          <w:lang w:val="zh-CN" w:eastAsia="zh-CN"/>
        </w:rPr>
        <w:t>预算结余率大于</w:t>
      </w:r>
      <w:r>
        <w:rPr>
          <w:rFonts w:hint="eastAsia" w:ascii="仿宋_GB2312" w:hAnsi="仿宋_GB2312" w:eastAsia="仿宋_GB2312" w:cs="仿宋_GB2312"/>
          <w:color w:val="000000"/>
          <w:kern w:val="0"/>
          <w:sz w:val="32"/>
          <w:szCs w:val="32"/>
          <w:highlight w:val="none"/>
          <w:shd w:val="clear" w:color="auto" w:fill="FFFFFF"/>
          <w:lang w:val="en-US" w:eastAsia="zh-CN"/>
        </w:rPr>
        <w:t>10%</w:t>
      </w:r>
      <w:r>
        <w:rPr>
          <w:rFonts w:hint="eastAsia" w:ascii="仿宋_GB2312" w:hAnsi="仿宋_GB2312" w:eastAsia="仿宋_GB2312" w:cs="仿宋_GB2312"/>
          <w:color w:val="000000"/>
          <w:kern w:val="0"/>
          <w:sz w:val="32"/>
          <w:szCs w:val="32"/>
          <w:highlight w:val="none"/>
          <w:shd w:val="clear" w:color="auto" w:fill="FFFFFF"/>
          <w:lang w:val="zh-CN" w:eastAsia="zh-CN"/>
        </w:rPr>
        <w:t>的项目共计</w:t>
      </w:r>
      <w:r>
        <w:rPr>
          <w:rFonts w:hint="eastAsia" w:ascii="仿宋_GB2312" w:hAnsi="仿宋_GB2312" w:eastAsia="仿宋_GB2312" w:cs="仿宋_GB2312"/>
          <w:color w:val="000000"/>
          <w:kern w:val="0"/>
          <w:sz w:val="32"/>
          <w:szCs w:val="32"/>
          <w:highlight w:val="none"/>
          <w:shd w:val="clear" w:color="auto" w:fill="FFFFFF"/>
          <w:lang w:val="en-US" w:eastAsia="zh-CN"/>
        </w:rPr>
        <w:t>0</w:t>
      </w:r>
      <w:r>
        <w:rPr>
          <w:rFonts w:hint="eastAsia" w:ascii="仿宋_GB2312" w:hAnsi="仿宋_GB2312" w:eastAsia="仿宋_GB2312" w:cs="仿宋_GB2312"/>
          <w:color w:val="000000"/>
          <w:kern w:val="0"/>
          <w:sz w:val="32"/>
          <w:szCs w:val="32"/>
          <w:highlight w:val="none"/>
          <w:shd w:val="clear" w:color="auto" w:fill="FFFFFF"/>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阶段项目绩效分析。</w:t>
      </w:r>
      <w:r>
        <w:rPr>
          <w:rFonts w:hint="eastAsia" w:ascii="仿宋_GB2312" w:hAnsi="仿宋_GB2312" w:eastAsia="仿宋_GB2312" w:cs="仿宋_GB2312"/>
          <w:color w:val="000000"/>
          <w:kern w:val="0"/>
          <w:sz w:val="32"/>
          <w:szCs w:val="32"/>
          <w:highlight w:val="none"/>
          <w:shd w:val="clear" w:color="auto" w:fill="FFFFFF"/>
          <w:lang w:val="zh-CN" w:eastAsia="zh-CN"/>
        </w:rPr>
        <w:t>该类项目总数</w:t>
      </w:r>
      <w:r>
        <w:rPr>
          <w:rFonts w:hint="eastAsia" w:ascii="仿宋_GB2312" w:hAnsi="仿宋_GB2312" w:eastAsia="仿宋_GB2312" w:cs="仿宋_GB2312"/>
          <w:color w:val="000000"/>
          <w:kern w:val="0"/>
          <w:sz w:val="32"/>
          <w:szCs w:val="32"/>
          <w:highlight w:val="none"/>
          <w:shd w:val="clear" w:color="auto" w:fill="FFFFFF"/>
          <w:lang w:val="en-US" w:eastAsia="zh-CN"/>
        </w:rPr>
        <w:t>1</w:t>
      </w:r>
      <w:r>
        <w:rPr>
          <w:rFonts w:hint="eastAsia" w:ascii="仿宋_GB2312" w:hAnsi="仿宋_GB2312" w:eastAsia="仿宋_GB2312" w:cs="仿宋_GB2312"/>
          <w:color w:val="000000"/>
          <w:kern w:val="0"/>
          <w:sz w:val="32"/>
          <w:szCs w:val="32"/>
          <w:highlight w:val="none"/>
          <w:shd w:val="clear" w:color="auto" w:fill="FFFFFF"/>
          <w:lang w:val="zh-CN" w:eastAsia="zh-CN"/>
        </w:rPr>
        <w:t>个，涉及预算总金额</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   14.94</w:t>
      </w:r>
      <w:r>
        <w:rPr>
          <w:rFonts w:hint="eastAsia" w:ascii="仿宋_GB2312" w:hAnsi="仿宋_GB2312" w:eastAsia="仿宋_GB2312" w:cs="仿宋_GB2312"/>
          <w:color w:val="000000"/>
          <w:kern w:val="0"/>
          <w:sz w:val="32"/>
          <w:szCs w:val="32"/>
          <w:highlight w:val="none"/>
          <w:shd w:val="clear" w:color="auto" w:fill="FFFFFF"/>
          <w:lang w:val="zh-CN" w:eastAsia="zh-CN"/>
        </w:rPr>
        <w:t>万元，</w:t>
      </w:r>
      <w:r>
        <w:rPr>
          <w:rFonts w:hint="eastAsia" w:ascii="仿宋_GB2312" w:hAnsi="仿宋_GB2312" w:eastAsia="仿宋_GB2312" w:cs="仿宋_GB2312"/>
          <w:color w:val="000000"/>
          <w:kern w:val="0"/>
          <w:sz w:val="32"/>
          <w:szCs w:val="32"/>
          <w:highlight w:val="none"/>
          <w:shd w:val="clear" w:color="auto" w:fill="FFFFFF"/>
          <w:lang w:val="zh-CN"/>
        </w:rPr>
        <w:t>1</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color w:val="000000"/>
          <w:kern w:val="0"/>
          <w:sz w:val="32"/>
          <w:szCs w:val="32"/>
          <w:highlight w:val="none"/>
          <w:shd w:val="clear" w:color="auto" w:fill="FFFFFF"/>
          <w:lang w:val="zh-CN"/>
        </w:rPr>
        <w:t>1</w:t>
      </w: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lang w:val="zh-CN"/>
        </w:rPr>
        <w:t>月预算执行总体进度为</w:t>
      </w:r>
      <w:r>
        <w:rPr>
          <w:rFonts w:hint="eastAsia" w:ascii="仿宋_GB2312" w:hAnsi="仿宋_GB2312" w:eastAsia="仿宋_GB2312" w:cs="仿宋_GB2312"/>
          <w:color w:val="000000"/>
          <w:kern w:val="0"/>
          <w:sz w:val="32"/>
          <w:szCs w:val="32"/>
          <w:highlight w:val="none"/>
          <w:shd w:val="clear" w:color="auto" w:fill="FFFFFF"/>
          <w:lang w:val="en-US" w:eastAsia="zh-CN"/>
        </w:rPr>
        <w:t>74.6</w:t>
      </w:r>
      <w:r>
        <w:rPr>
          <w:rFonts w:hint="eastAsia" w:ascii="仿宋_GB2312" w:hAnsi="仿宋_GB2312" w:eastAsia="仿宋_GB2312" w:cs="仿宋_GB2312"/>
          <w:color w:val="000000"/>
          <w:kern w:val="0"/>
          <w:sz w:val="32"/>
          <w:szCs w:val="32"/>
          <w:highlight w:val="none"/>
          <w:shd w:val="clear" w:color="auto" w:fill="FFFFFF"/>
          <w:lang w:val="zh-CN"/>
        </w:rPr>
        <w:t>%。其中：</w:t>
      </w:r>
      <w:r>
        <w:rPr>
          <w:rFonts w:hint="eastAsia" w:ascii="仿宋_GB2312" w:hAnsi="仿宋_GB2312" w:eastAsia="仿宋_GB2312" w:cs="仿宋_GB2312"/>
          <w:color w:val="000000"/>
          <w:kern w:val="0"/>
          <w:sz w:val="32"/>
          <w:szCs w:val="32"/>
          <w:highlight w:val="none"/>
          <w:shd w:val="clear" w:color="auto" w:fill="FFFFFF"/>
          <w:lang w:val="zh-CN" w:eastAsia="zh-CN"/>
        </w:rPr>
        <w:t>预算结余率大于</w:t>
      </w:r>
      <w:r>
        <w:rPr>
          <w:rFonts w:hint="eastAsia" w:ascii="仿宋_GB2312" w:hAnsi="仿宋_GB2312" w:eastAsia="仿宋_GB2312" w:cs="仿宋_GB2312"/>
          <w:color w:val="000000"/>
          <w:kern w:val="0"/>
          <w:sz w:val="32"/>
          <w:szCs w:val="32"/>
          <w:highlight w:val="none"/>
          <w:shd w:val="clear" w:color="auto" w:fill="FFFFFF"/>
          <w:lang w:val="en-US" w:eastAsia="zh-CN"/>
        </w:rPr>
        <w:t>10%</w:t>
      </w:r>
      <w:r>
        <w:rPr>
          <w:rFonts w:hint="eastAsia" w:ascii="仿宋_GB2312" w:hAnsi="仿宋_GB2312" w:eastAsia="仿宋_GB2312" w:cs="仿宋_GB2312"/>
          <w:color w:val="000000"/>
          <w:kern w:val="0"/>
          <w:sz w:val="32"/>
          <w:szCs w:val="32"/>
          <w:highlight w:val="none"/>
          <w:shd w:val="clear" w:color="auto" w:fill="FFFFFF"/>
          <w:lang w:val="zh-CN" w:eastAsia="zh-CN"/>
        </w:rPr>
        <w:t>的项目共计</w:t>
      </w:r>
      <w:r>
        <w:rPr>
          <w:rFonts w:hint="eastAsia" w:ascii="仿宋_GB2312" w:hAnsi="仿宋_GB2312" w:eastAsia="仿宋_GB2312" w:cs="仿宋_GB2312"/>
          <w:color w:val="000000"/>
          <w:kern w:val="0"/>
          <w:sz w:val="32"/>
          <w:szCs w:val="32"/>
          <w:highlight w:val="none"/>
          <w:shd w:val="clear" w:color="auto" w:fill="FFFFFF"/>
          <w:lang w:val="en-US" w:eastAsia="zh-CN"/>
        </w:rPr>
        <w:t>`1</w:t>
      </w:r>
      <w:r>
        <w:rPr>
          <w:rFonts w:hint="eastAsia" w:ascii="仿宋_GB2312" w:hAnsi="仿宋_GB2312" w:eastAsia="仿宋_GB2312" w:cs="仿宋_GB2312"/>
          <w:color w:val="000000"/>
          <w:kern w:val="0"/>
          <w:sz w:val="32"/>
          <w:szCs w:val="32"/>
          <w:highlight w:val="none"/>
          <w:shd w:val="clear" w:color="auto" w:fill="FFFFFF"/>
          <w:lang w:val="zh-CN" w:eastAsia="zh-CN"/>
        </w:rPr>
        <w:t>个。</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bidi="ar-SA"/>
        </w:rPr>
        <w:t>1.</w:t>
      </w:r>
      <w:r>
        <w:rPr>
          <w:rFonts w:hint="eastAsia" w:ascii="仿宋_GB2312" w:hAnsi="仿宋_GB2312" w:eastAsia="仿宋_GB2312" w:cs="仿宋_GB2312"/>
          <w:color w:val="000000"/>
          <w:kern w:val="0"/>
          <w:sz w:val="32"/>
          <w:szCs w:val="32"/>
          <w:highlight w:val="none"/>
          <w:shd w:val="clear" w:color="auto" w:fill="FFFFFF"/>
          <w:lang w:val="zh-CN" w:eastAsia="zh-CN" w:bidi="ar-SA"/>
        </w:rPr>
        <w:t>项目决策。</w:t>
      </w:r>
      <w:r>
        <w:rPr>
          <w:rFonts w:hint="eastAsia" w:ascii="仿宋_GB2312" w:hAnsi="仿宋_GB2312" w:eastAsia="仿宋_GB2312" w:cs="仿宋_GB2312"/>
          <w:sz w:val="32"/>
          <w:szCs w:val="32"/>
          <w:lang w:val="zh-CN" w:eastAsia="zh-CN"/>
        </w:rPr>
        <w:t>坚持依法依规、科学民主、效益优先、风险可控的原则，</w:t>
      </w:r>
      <w:r>
        <w:rPr>
          <w:rFonts w:hint="eastAsia" w:ascii="仿宋_GB2312" w:hAnsi="仿宋_GB2312" w:eastAsia="仿宋_GB2312" w:cs="仿宋_GB2312"/>
          <w:color w:val="000000"/>
          <w:kern w:val="0"/>
          <w:sz w:val="32"/>
          <w:szCs w:val="32"/>
          <w:highlight w:val="none"/>
          <w:shd w:val="clear" w:color="auto" w:fill="FFFFFF"/>
          <w:lang w:val="zh-CN" w:eastAsia="zh-CN" w:bidi="ar-SA"/>
        </w:rPr>
        <w:t>根据本年工作任务和财政部门预算要求，</w:t>
      </w:r>
      <w:r>
        <w:rPr>
          <w:rFonts w:hint="eastAsia" w:ascii="仿宋_GB2312" w:hAnsi="仿宋_GB2312" w:eastAsia="仿宋_GB2312" w:cs="仿宋_GB2312"/>
          <w:sz w:val="32"/>
          <w:szCs w:val="32"/>
          <w:lang w:val="zh-CN" w:eastAsia="zh-CN"/>
        </w:rPr>
        <w:t>相关股室结合职能职责，对项目进行深入调研，明确目标、内容、预算，形成项目调研报告，制定项目实施方案，</w:t>
      </w:r>
      <w:r>
        <w:rPr>
          <w:rFonts w:hint="eastAsia" w:ascii="仿宋_GB2312" w:hAnsi="仿宋_GB2312" w:eastAsia="仿宋_GB2312" w:cs="仿宋_GB2312"/>
          <w:sz w:val="32"/>
          <w:szCs w:val="32"/>
          <w:lang w:val="en-US" w:eastAsia="zh-CN"/>
        </w:rPr>
        <w:t>再经</w:t>
      </w:r>
      <w:r>
        <w:rPr>
          <w:rFonts w:hint="eastAsia" w:ascii="仿宋_GB2312" w:hAnsi="仿宋_GB2312" w:eastAsia="仿宋_GB2312" w:cs="仿宋_GB2312"/>
          <w:sz w:val="32"/>
          <w:szCs w:val="32"/>
          <w:lang w:val="zh-CN" w:eastAsia="zh-CN"/>
        </w:rPr>
        <w:t>领导集体讨论，修改完善实施方案，形成决策。</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2.项目执行</w:t>
      </w:r>
      <w:r>
        <w:rPr>
          <w:rFonts w:hint="eastAsia" w:ascii="仿宋_GB2312" w:hAnsi="仿宋_GB2312" w:eastAsia="仿宋_GB2312" w:cs="仿宋_GB2312"/>
          <w:color w:val="000000"/>
          <w:kern w:val="0"/>
          <w:sz w:val="32"/>
          <w:szCs w:val="32"/>
          <w:highlight w:val="none"/>
          <w:shd w:val="clear" w:color="auto" w:fill="FFFFFF"/>
          <w:lang w:val="zh-CN"/>
        </w:rPr>
        <w:t>。</w:t>
      </w:r>
      <w:r>
        <w:rPr>
          <w:rFonts w:hint="eastAsia" w:ascii="仿宋_GB2312" w:hAnsi="仿宋_GB2312" w:eastAsia="仿宋_GB2312" w:cs="仿宋_GB2312"/>
          <w:sz w:val="32"/>
          <w:szCs w:val="32"/>
          <w:lang w:val="zh-CN"/>
        </w:rPr>
        <w:t>资金执行</w:t>
      </w:r>
      <w:r>
        <w:rPr>
          <w:rFonts w:hint="eastAsia" w:ascii="仿宋_GB2312" w:hAnsi="仿宋_GB2312" w:eastAsia="仿宋_GB2312" w:cs="仿宋_GB2312"/>
          <w:sz w:val="32"/>
          <w:szCs w:val="32"/>
          <w:lang w:val="en-US" w:eastAsia="zh-CN"/>
        </w:rPr>
        <w:t>按时间阶段和业务进程进行，根据实际情况进行</w:t>
      </w:r>
      <w:r>
        <w:rPr>
          <w:rFonts w:hint="eastAsia" w:ascii="仿宋_GB2312" w:hAnsi="仿宋_GB2312" w:eastAsia="仿宋_GB2312" w:cs="仿宋_GB2312"/>
          <w:sz w:val="32"/>
          <w:szCs w:val="32"/>
          <w:lang w:val="zh-CN"/>
        </w:rPr>
        <w:t>项目调整，执行结果绩效</w:t>
      </w:r>
      <w:r>
        <w:rPr>
          <w:rFonts w:hint="eastAsia" w:ascii="仿宋_GB2312" w:hAnsi="仿宋_GB2312" w:eastAsia="仿宋_GB2312" w:cs="仿宋_GB2312"/>
          <w:sz w:val="32"/>
          <w:szCs w:val="32"/>
          <w:lang w:val="en-US" w:eastAsia="zh-CN"/>
        </w:rPr>
        <w:t>良好，符合预期</w:t>
      </w:r>
      <w:r>
        <w:rPr>
          <w:rFonts w:hint="eastAsia" w:ascii="仿宋_GB2312" w:hAnsi="仿宋_GB2312" w:eastAsia="仿宋_GB2312" w:cs="仿宋_GB2312"/>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zh-CN"/>
        </w:rPr>
        <w:t>目标实现。</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val="zh-CN" w:eastAsia="zh-CN"/>
        </w:rPr>
        <w:t>对</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zh-CN" w:eastAsia="zh-CN"/>
        </w:rPr>
        <w:t>项目实施过程和成果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CN" w:eastAsia="zh-CN"/>
        </w:rPr>
        <w:t>全面监督和评价</w:t>
      </w:r>
      <w:r>
        <w:rPr>
          <w:rFonts w:hint="eastAsia" w:ascii="仿宋_GB2312" w:hAnsi="仿宋_GB2312" w:eastAsia="仿宋_GB2312" w:cs="仿宋_GB2312"/>
          <w:sz w:val="32"/>
          <w:szCs w:val="32"/>
          <w:lang w:val="en-US" w:eastAsia="zh-CN"/>
        </w:rPr>
        <w:t>得出，我单位基本</w:t>
      </w:r>
      <w:r>
        <w:rPr>
          <w:rFonts w:hint="eastAsia" w:ascii="仿宋_GB2312" w:hAnsi="仿宋_GB2312" w:eastAsia="仿宋_GB2312" w:cs="仿宋_GB2312"/>
          <w:sz w:val="32"/>
          <w:szCs w:val="32"/>
          <w:lang w:val="zh-CN" w:eastAsia="zh-CN"/>
        </w:rPr>
        <w:t>完成年初既定目标。</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rPr>
        <w:t>）绩效结果应用情况。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zh-CN" w:eastAsia="zh-CN"/>
        </w:rPr>
        <w:t>来，</w:t>
      </w: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lang w:val="zh-CN" w:eastAsia="zh-CN"/>
        </w:rPr>
        <w:t>严格按照项目专项资金使用管理要求和相应项目实施方案，制定了相关资金管理制度，严格资金支出，资金使用规范，工作稳步推进，且成效明显。项目专项资金到位和拨付及时，没有出现项目资金被挤占、挪用和严重偏离绩效目标的情况，资金支出成效明显，整体效果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黑体" w:hAnsi="黑体" w:eastAsia="黑体" w:cs="黑体"/>
          <w:color w:val="000000"/>
          <w:kern w:val="0"/>
          <w:sz w:val="32"/>
          <w:szCs w:val="32"/>
          <w:highlight w:val="none"/>
          <w:shd w:val="clear" w:color="auto" w:fill="FFFFFF"/>
          <w:lang w:val="zh-CN"/>
        </w:rPr>
      </w:pPr>
      <w:r>
        <w:rPr>
          <w:rFonts w:hint="eastAsia" w:ascii="黑体" w:hAnsi="黑体" w:eastAsia="黑体" w:cs="黑体"/>
          <w:color w:val="000000"/>
          <w:kern w:val="0"/>
          <w:sz w:val="32"/>
          <w:szCs w:val="32"/>
          <w:highlight w:val="none"/>
          <w:shd w:val="clear" w:color="auto" w:fill="FFFFFF"/>
          <w:lang w:val="zh-CN" w:eastAsia="zh-CN"/>
        </w:rPr>
        <w:t>四、</w:t>
      </w:r>
      <w:r>
        <w:rPr>
          <w:rFonts w:hint="eastAsia" w:ascii="黑体" w:hAnsi="黑体" w:eastAsia="黑体" w:cs="黑体"/>
          <w:color w:val="000000"/>
          <w:kern w:val="0"/>
          <w:sz w:val="32"/>
          <w:szCs w:val="32"/>
          <w:highlight w:val="none"/>
          <w:shd w:val="clear" w:color="auto" w:fill="FFFFFF"/>
          <w:lang w:val="zh-CN"/>
        </w:rPr>
        <w:t>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color w:val="000000"/>
          <w:kern w:val="0"/>
          <w:sz w:val="32"/>
          <w:szCs w:val="32"/>
          <w:highlight w:val="none"/>
          <w:shd w:val="clear" w:color="auto" w:fill="FFFFFF"/>
          <w:lang w:val="zh-CN"/>
        </w:rPr>
        <w:t>（一）评价结论。</w:t>
      </w:r>
      <w:r>
        <w:rPr>
          <w:rFonts w:hint="eastAsia" w:ascii="仿宋_GB2312" w:hAnsi="仿宋_GB2312" w:eastAsia="仿宋_GB2312" w:cs="仿宋_GB2312"/>
          <w:sz w:val="32"/>
          <w:szCs w:val="32"/>
          <w:lang w:val="zh-CN" w:eastAsia="zh-CN"/>
        </w:rPr>
        <w:t>我单位严格按照指定的评价程序和相关制度对每个能够量化评价的实施绩效评价，确保评价依据充分，最最后自评分为</w:t>
      </w:r>
      <w:r>
        <w:rPr>
          <w:rFonts w:hint="eastAsia" w:ascii="仿宋_GB2312" w:hAnsi="仿宋_GB2312" w:eastAsia="仿宋_GB2312" w:cs="仿宋_GB2312"/>
          <w:sz w:val="32"/>
          <w:szCs w:val="32"/>
          <w:lang w:val="en-US" w:eastAsia="zh-CN"/>
        </w:rPr>
        <w:t>95分</w:t>
      </w:r>
      <w:r>
        <w:rPr>
          <w:rFonts w:hint="eastAsia" w:ascii="仿宋_GB2312" w:hAnsi="仿宋_GB2312" w:eastAsia="仿宋_GB2312" w:cs="仿宋_GB2312"/>
          <w:sz w:val="32"/>
          <w:szCs w:val="32"/>
          <w:lang w:val="zh-CN" w:eastAsia="zh-CN"/>
        </w:rPr>
        <w:t>，整体效果好。</w:t>
      </w:r>
    </w:p>
    <w:p>
      <w:pPr>
        <w:keepNext w:val="0"/>
        <w:keepLines w:val="0"/>
        <w:pageBreakBefore w:val="0"/>
        <w:kinsoku/>
        <w:wordWrap/>
        <w:overflowPunct/>
        <w:topLinePunct w:val="0"/>
        <w:autoSpaceDE/>
        <w:autoSpaceDN/>
        <w:bidi w:val="0"/>
        <w:spacing w:line="560" w:lineRule="exact"/>
        <w:ind w:firstLine="643" w:firstLineChars="200"/>
        <w:jc w:val="left"/>
        <w:textAlignment w:val="auto"/>
        <w:outlineLvl w:val="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color w:val="000000"/>
          <w:kern w:val="0"/>
          <w:sz w:val="32"/>
          <w:szCs w:val="32"/>
          <w:highlight w:val="none"/>
          <w:shd w:val="clear" w:color="auto" w:fill="FFFFFF"/>
          <w:lang w:val="zh-CN"/>
        </w:rPr>
        <w:t>（二）存在问题。</w:t>
      </w:r>
      <w:r>
        <w:rPr>
          <w:rFonts w:hint="eastAsia" w:ascii="仿宋_GB2312" w:hAnsi="仿宋_GB2312" w:eastAsia="仿宋_GB2312" w:cs="仿宋_GB2312"/>
          <w:sz w:val="32"/>
          <w:szCs w:val="32"/>
          <w:lang w:val="zh-CN" w:eastAsia="zh-CN"/>
        </w:rPr>
        <w:t>预算绩效观念不深入，思想认识有误区。预算绩效管理仍存在“重支出、轻绩效”的思想，认为预算申报的项目能落实到位和预算安排的资金能用出去就不会有大的问题，没有站在全局高度考虑是不是达到了效益最大化。</w:t>
      </w:r>
    </w:p>
    <w:p>
      <w:pPr>
        <w:keepNext w:val="0"/>
        <w:keepLines w:val="0"/>
        <w:pageBreakBefore w:val="0"/>
        <w:kinsoku/>
        <w:wordWrap/>
        <w:overflowPunct/>
        <w:topLinePunct w:val="0"/>
        <w:autoSpaceDE/>
        <w:autoSpaceDN/>
        <w:bidi w:val="0"/>
        <w:spacing w:line="560" w:lineRule="exact"/>
        <w:ind w:firstLine="643"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highlight w:val="none"/>
          <w:shd w:val="clear" w:color="auto" w:fill="FFFFFF"/>
          <w:lang w:val="zh-CN" w:eastAsia="zh-CN"/>
        </w:rPr>
        <w:t>（三）改进建议。</w:t>
      </w:r>
      <w:r>
        <w:rPr>
          <w:rFonts w:hint="eastAsia" w:ascii="仿宋_GB2312" w:hAnsi="仿宋_GB2312" w:eastAsia="仿宋_GB2312" w:cs="仿宋_GB2312"/>
          <w:sz w:val="32"/>
          <w:szCs w:val="32"/>
          <w:lang w:val="zh-CN" w:eastAsia="zh-CN"/>
        </w:rPr>
        <w:t>进一步加大基本支出和项目支出预算的绩效评价管理，根据财力情况和部门履职需要，加强事前绩效论证评估，按轻重缓急排序，适当安排项目预算，坚持绩效管理全程参与，将每一分钱都花在最重要、最能产生效益的地方去。</w:t>
      </w:r>
    </w:p>
    <w:p>
      <w:pPr>
        <w:spacing w:line="600" w:lineRule="exact"/>
        <w:jc w:val="both"/>
        <w:outlineLvl w:val="0"/>
        <w:rPr>
          <w:rFonts w:hint="eastAsia" w:ascii="仿宋_GB2312" w:hAnsi="仿宋_GB2312" w:eastAsia="仿宋_GB2312" w:cs="仿宋_GB2312"/>
          <w:sz w:val="32"/>
          <w:szCs w:val="32"/>
        </w:rPr>
      </w:pP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spacing w:line="600" w:lineRule="exact"/>
        <w:jc w:val="both"/>
        <w:outlineLvl w:val="0"/>
        <w:rPr>
          <w:rFonts w:hint="eastAsia" w:ascii="仿宋_GB2312" w:hAnsi="仿宋_GB2312" w:eastAsia="仿宋_GB2312" w:cs="仿宋_GB2312"/>
          <w:b/>
          <w:sz w:val="32"/>
          <w:szCs w:val="32"/>
        </w:rPr>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pPr>
      <w:bookmarkStart w:id="71" w:name="_Toc22520"/>
      <w:bookmarkStart w:id="72" w:name="_Toc15396618"/>
      <w:bookmarkStart w:id="73" w:name="_Toc15377226"/>
    </w:p>
    <w:bookmarkEnd w:id="71"/>
    <w:tbl>
      <w:tblPr>
        <w:tblStyle w:val="15"/>
        <w:tblW w:w="15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8"/>
        <w:gridCol w:w="1988"/>
        <w:gridCol w:w="472"/>
        <w:gridCol w:w="1480"/>
        <w:gridCol w:w="1931"/>
        <w:gridCol w:w="1144"/>
        <w:gridCol w:w="1312"/>
        <w:gridCol w:w="1275"/>
        <w:gridCol w:w="1350"/>
        <w:gridCol w:w="581"/>
        <w:gridCol w:w="589"/>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001"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auto"/>
                <w:sz w:val="30"/>
                <w:szCs w:val="30"/>
                <w:highlight w:val="none"/>
                <w:u w:val="none"/>
              </w:rPr>
            </w:pPr>
            <w:r>
              <w:rPr>
                <w:rFonts w:hint="default" w:ascii="Times New Roman" w:hAnsi="Times New Roman" w:eastAsia="黑体" w:cs="Times New Roman"/>
                <w:b/>
                <w:bCs/>
                <w:i w:val="0"/>
                <w:iCs w:val="0"/>
                <w:color w:val="auto"/>
                <w:kern w:val="0"/>
                <w:sz w:val="30"/>
                <w:szCs w:val="30"/>
                <w:highlight w:val="none"/>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3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项目名称</w:t>
            </w:r>
          </w:p>
        </w:tc>
        <w:tc>
          <w:tcPr>
            <w:tcW w:w="1146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51052121T000000041387-企业职工养老保险退休人员社会化管理服务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353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主管部门</w:t>
            </w:r>
          </w:p>
        </w:tc>
        <w:tc>
          <w:tcPr>
            <w:tcW w:w="714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劳动社保部门</w:t>
            </w:r>
          </w:p>
        </w:tc>
        <w:tc>
          <w:tcPr>
            <w:tcW w:w="1350" w:type="dxa"/>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highlight w:val="none"/>
                <w:u w:val="none"/>
                <w:lang w:val="en-US" w:eastAsia="zh-CN" w:bidi="ar"/>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实施单位 </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（盖章）</w:t>
            </w:r>
          </w:p>
        </w:tc>
        <w:tc>
          <w:tcPr>
            <w:tcW w:w="29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泸县</w:t>
            </w:r>
            <w:r>
              <w:rPr>
                <w:rFonts w:hint="eastAsia" w:ascii="Times New Roman" w:hAnsi="Times New Roman" w:eastAsia="宋体" w:cs="Times New Roman"/>
                <w:i w:val="0"/>
                <w:iCs w:val="0"/>
                <w:color w:val="auto"/>
                <w:kern w:val="0"/>
                <w:sz w:val="18"/>
                <w:szCs w:val="18"/>
                <w:highlight w:val="none"/>
                <w:u w:val="none"/>
                <w:lang w:val="en-US" w:eastAsia="zh-CN" w:bidi="ar"/>
              </w:rPr>
              <w:t>社会保险事业管理局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项目基本情况</w:t>
            </w:r>
          </w:p>
        </w:tc>
        <w:tc>
          <w:tcPr>
            <w:tcW w:w="24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1.项目年度目标完成情况</w:t>
            </w:r>
          </w:p>
        </w:tc>
        <w:tc>
          <w:tcPr>
            <w:tcW w:w="714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项目年度目标</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24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714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保障企业职工养老保险退休人员</w:t>
            </w:r>
            <w:r>
              <w:rPr>
                <w:rFonts w:hint="eastAsia" w:ascii="宋体" w:hAnsi="宋体" w:eastAsia="宋体" w:cs="宋体"/>
                <w:i w:val="0"/>
                <w:iCs w:val="0"/>
                <w:color w:val="auto"/>
                <w:kern w:val="0"/>
                <w:sz w:val="16"/>
                <w:szCs w:val="16"/>
                <w:highlight w:val="none"/>
                <w:u w:val="none"/>
                <w:lang w:val="en-US" w:eastAsia="zh-CN" w:bidi="ar"/>
              </w:rPr>
              <w:t>双节慰问工作</w:t>
            </w:r>
            <w:r>
              <w:rPr>
                <w:rFonts w:ascii="宋体" w:hAnsi="宋体" w:eastAsia="宋体" w:cs="宋体"/>
                <w:i w:val="0"/>
                <w:iCs w:val="0"/>
                <w:color w:val="auto"/>
                <w:kern w:val="0"/>
                <w:sz w:val="16"/>
                <w:szCs w:val="16"/>
                <w:highlight w:val="none"/>
                <w:u w:val="none"/>
                <w:lang w:val="en-US" w:eastAsia="zh-CN" w:bidi="ar"/>
              </w:rPr>
              <w:t>顺利进行，保障退休人员权益</w:t>
            </w:r>
            <w:r>
              <w:rPr>
                <w:rFonts w:hint="eastAsia" w:ascii="宋体" w:hAnsi="宋体" w:eastAsia="宋体" w:cs="宋体"/>
                <w:i w:val="0"/>
                <w:iCs w:val="0"/>
                <w:color w:val="auto"/>
                <w:kern w:val="0"/>
                <w:sz w:val="16"/>
                <w:szCs w:val="16"/>
                <w:highlight w:val="none"/>
                <w:u w:val="none"/>
                <w:lang w:val="en-US" w:eastAsia="zh-CN" w:bidi="ar"/>
              </w:rPr>
              <w:t>。</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已完成所有签字程序及付款程序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2.项目实施内容及过程概述</w:t>
            </w:r>
          </w:p>
        </w:tc>
        <w:tc>
          <w:tcPr>
            <w:tcW w:w="1146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按照规定的时间节点完成了</w:t>
            </w:r>
            <w:r>
              <w:rPr>
                <w:rFonts w:ascii="宋体" w:hAnsi="宋体" w:eastAsia="宋体" w:cs="宋体"/>
                <w:i w:val="0"/>
                <w:iCs w:val="0"/>
                <w:color w:val="auto"/>
                <w:kern w:val="0"/>
                <w:sz w:val="16"/>
                <w:szCs w:val="16"/>
                <w:highlight w:val="none"/>
                <w:u w:val="none"/>
                <w:lang w:val="en-US" w:eastAsia="zh-CN" w:bidi="ar"/>
              </w:rPr>
              <w:t>企业职工养老保险退休人员</w:t>
            </w:r>
            <w:r>
              <w:rPr>
                <w:rFonts w:hint="eastAsia" w:ascii="宋体" w:hAnsi="宋体" w:eastAsia="宋体" w:cs="宋体"/>
                <w:i w:val="0"/>
                <w:iCs w:val="0"/>
                <w:color w:val="auto"/>
                <w:kern w:val="0"/>
                <w:sz w:val="16"/>
                <w:szCs w:val="16"/>
                <w:highlight w:val="none"/>
                <w:u w:val="none"/>
                <w:lang w:val="en-US" w:eastAsia="zh-CN" w:bidi="ar"/>
              </w:rPr>
              <w:t>慰问品采购工作，并发放到位。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预算执行情况（10分）</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年度预算数（万元）</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年初预算</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调整后预算数</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预算执行率</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总额</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75.00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72.16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96.21%</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5</w:t>
            </w:r>
          </w:p>
        </w:tc>
        <w:tc>
          <w:tcPr>
            <w:tcW w:w="1801"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其中：财政资金</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75.00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72.16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96.21%</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财政专户管理资金</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单位资金</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其他资金</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绩效指标（90分）</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一级指标</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二级指标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三级指标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指标性质</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度量单位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完成值</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4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产出指标</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数量指标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采购慰问品个数</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60000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个</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60000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4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质量指标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慰问品质量</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合格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合格</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4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时效指标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及时发放慰问品</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按</w:t>
            </w:r>
            <w:r>
              <w:rPr>
                <w:rFonts w:hint="eastAsia" w:ascii="Times New Roman" w:hAnsi="Times New Roman" w:eastAsia="宋体" w:cs="Times New Roman"/>
                <w:i w:val="0"/>
                <w:iCs w:val="0"/>
                <w:color w:val="auto"/>
                <w:kern w:val="0"/>
                <w:sz w:val="18"/>
                <w:szCs w:val="18"/>
                <w:highlight w:val="none"/>
                <w:u w:val="none"/>
                <w:lang w:val="en-US" w:eastAsia="zh-CN" w:bidi="ar"/>
              </w:rPr>
              <w:t>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60" w:firstLineChars="200"/>
              <w:jc w:val="both"/>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按时</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效益指标</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社会效益指标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r>
              <w:rPr>
                <w:rFonts w:hint="eastAsia" w:ascii="Times New Roman" w:hAnsi="Times New Roman" w:eastAsia="宋体" w:cs="Times New Roman"/>
                <w:i w:val="0"/>
                <w:iCs w:val="0"/>
                <w:color w:val="auto"/>
                <w:kern w:val="0"/>
                <w:sz w:val="18"/>
                <w:szCs w:val="18"/>
                <w:highlight w:val="none"/>
                <w:u w:val="none"/>
                <w:lang w:val="en-US" w:eastAsia="zh-CN" w:bidi="ar"/>
              </w:rPr>
              <w:t>退休群体稳定</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2"/>
                <w:sz w:val="18"/>
                <w:szCs w:val="18"/>
                <w:highlight w:val="none"/>
                <w:u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成本指标</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经济成本指标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总额控制</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万元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72.16</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9</w:t>
            </w:r>
            <w:r>
              <w:rPr>
                <w:rFonts w:hint="eastAsia" w:ascii="Times New Roman" w:hAnsi="Times New Roman" w:eastAsia="宋体" w:cs="Times New Roman"/>
                <w:i w:val="0"/>
                <w:iCs w:val="0"/>
                <w:color w:val="auto"/>
                <w:kern w:val="0"/>
                <w:sz w:val="18"/>
                <w:szCs w:val="18"/>
                <w:highlight w:val="none"/>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98</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2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合计</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95</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评价结论</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质保金未及时拨付.该项目自评得分</w:t>
            </w:r>
            <w:r>
              <w:rPr>
                <w:rFonts w:hint="eastAsia" w:ascii="Times New Roman" w:hAnsi="Times New Roman" w:eastAsia="微软雅黑" w:cs="Times New Roman"/>
                <w:i w:val="0"/>
                <w:iCs w:val="0"/>
                <w:color w:val="auto"/>
                <w:kern w:val="0"/>
                <w:sz w:val="16"/>
                <w:szCs w:val="16"/>
                <w:highlight w:val="none"/>
                <w:u w:val="none"/>
                <w:lang w:val="en-US" w:eastAsia="zh-CN" w:bidi="ar"/>
              </w:rPr>
              <w:t>95</w:t>
            </w:r>
            <w:r>
              <w:rPr>
                <w:rFonts w:hint="default" w:ascii="Times New Roman" w:hAnsi="Times New Roman" w:eastAsia="微软雅黑" w:cs="Times New Roman"/>
                <w:i w:val="0"/>
                <w:iCs w:val="0"/>
                <w:color w:val="auto"/>
                <w:kern w:val="0"/>
                <w:sz w:val="16"/>
                <w:szCs w:val="16"/>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存在问题</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签字程序慢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改进措施</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lang w:val="en-US"/>
              </w:rPr>
            </w:pPr>
            <w:r>
              <w:rPr>
                <w:rFonts w:hint="default" w:ascii="Times New Roman" w:hAnsi="Times New Roman" w:eastAsia="微软雅黑" w:cs="Times New Roman"/>
                <w:i w:val="0"/>
                <w:iCs w:val="0"/>
                <w:color w:val="auto"/>
                <w:kern w:val="0"/>
                <w:sz w:val="16"/>
                <w:szCs w:val="16"/>
                <w:highlight w:val="none"/>
                <w:u w:val="none"/>
                <w:lang w:val="en-US" w:eastAsia="zh-CN" w:bidi="ar"/>
              </w:rPr>
              <w:t>简化签字</w:t>
            </w:r>
            <w:r>
              <w:rPr>
                <w:rFonts w:hint="eastAsia" w:ascii="Times New Roman" w:hAnsi="Times New Roman" w:eastAsia="微软雅黑" w:cs="Times New Roman"/>
                <w:i w:val="0"/>
                <w:iCs w:val="0"/>
                <w:color w:val="auto"/>
                <w:kern w:val="0"/>
                <w:sz w:val="16"/>
                <w:szCs w:val="16"/>
                <w:highlight w:val="none"/>
                <w:u w:val="none"/>
                <w:lang w:val="en-US" w:eastAsia="zh-CN" w:bidi="ar"/>
              </w:rPr>
              <w:t>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809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项目负责人： </w:t>
            </w:r>
          </w:p>
        </w:tc>
        <w:tc>
          <w:tcPr>
            <w:tcW w:w="690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001"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auto"/>
                <w:sz w:val="30"/>
                <w:szCs w:val="30"/>
                <w:highlight w:val="none"/>
                <w:u w:val="none"/>
              </w:rPr>
            </w:pPr>
            <w:r>
              <w:rPr>
                <w:rFonts w:hint="default" w:ascii="Times New Roman" w:hAnsi="Times New Roman" w:eastAsia="黑体" w:cs="Times New Roman"/>
                <w:b/>
                <w:bCs/>
                <w:i w:val="0"/>
                <w:iCs w:val="0"/>
                <w:color w:val="auto"/>
                <w:kern w:val="0"/>
                <w:sz w:val="30"/>
                <w:szCs w:val="30"/>
                <w:highlight w:val="none"/>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项目名称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51052121T000000071915-老被征地农转非基本生活保障金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主管部门</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劳动社保部门</w:t>
            </w:r>
          </w:p>
        </w:tc>
        <w:tc>
          <w:tcPr>
            <w:tcW w:w="1350" w:type="dxa"/>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highlight w:val="none"/>
                <w:u w:val="none"/>
                <w:lang w:val="en-US" w:eastAsia="zh-CN" w:bidi="ar"/>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实施单位 </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（盖章）</w:t>
            </w:r>
          </w:p>
        </w:tc>
        <w:tc>
          <w:tcPr>
            <w:tcW w:w="29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泸县</w:t>
            </w:r>
            <w:r>
              <w:rPr>
                <w:rFonts w:hint="eastAsia" w:ascii="Times New Roman" w:hAnsi="Times New Roman" w:eastAsia="宋体" w:cs="Times New Roman"/>
                <w:i w:val="0"/>
                <w:iCs w:val="0"/>
                <w:color w:val="auto"/>
                <w:kern w:val="0"/>
                <w:sz w:val="18"/>
                <w:szCs w:val="18"/>
                <w:highlight w:val="none"/>
                <w:u w:val="none"/>
                <w:lang w:val="en-US" w:eastAsia="zh-CN" w:bidi="ar"/>
              </w:rPr>
              <w:t>社会保险事业管理局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项目基本情况</w:t>
            </w: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1.项目年度目标完成情况</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项目年度目标</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lang w:val="en-US"/>
              </w:rPr>
            </w:pPr>
            <w:r>
              <w:rPr>
                <w:rFonts w:ascii="宋体" w:hAnsi="宋体" w:eastAsia="宋体" w:cs="宋体"/>
                <w:i w:val="0"/>
                <w:iCs w:val="0"/>
                <w:color w:val="auto"/>
                <w:kern w:val="0"/>
                <w:sz w:val="16"/>
                <w:szCs w:val="16"/>
                <w:highlight w:val="none"/>
                <w:u w:val="none"/>
                <w:lang w:val="en-US" w:eastAsia="zh-CN" w:bidi="ar"/>
              </w:rPr>
              <w:t>保证被征地农民基本生活，解决城市化过程中失地农民生存问题，给予基本的社会保障保护</w:t>
            </w:r>
            <w:r>
              <w:rPr>
                <w:rFonts w:hint="eastAsia" w:ascii="宋体" w:hAnsi="宋体" w:eastAsia="宋体" w:cs="宋体"/>
                <w:i w:val="0"/>
                <w:iCs w:val="0"/>
                <w:color w:val="auto"/>
                <w:kern w:val="0"/>
                <w:sz w:val="16"/>
                <w:szCs w:val="16"/>
                <w:highlight w:val="none"/>
                <w:u w:val="none"/>
                <w:lang w:val="en-US" w:eastAsia="zh-CN" w:bidi="ar"/>
              </w:rPr>
              <w:t>。</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eastAsia" w:ascii="黑体" w:hAnsi="黑体" w:eastAsia="黑体" w:cs="黑体"/>
                <w:i w:val="0"/>
                <w:iCs w:val="0"/>
                <w:color w:val="auto"/>
                <w:kern w:val="0"/>
                <w:sz w:val="16"/>
                <w:szCs w:val="16"/>
                <w:highlight w:val="none"/>
                <w:u w:val="none"/>
                <w:lang w:val="en-US" w:eastAsia="zh-CN" w:bidi="ar"/>
              </w:rPr>
              <w:t>完成征地农民基本生活保障金的发放工作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2.项目实施内容及过程概述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宋体" w:hAnsi="宋体" w:eastAsia="宋体" w:cs="宋体"/>
                <w:i w:val="0"/>
                <w:iCs w:val="0"/>
                <w:color w:val="auto"/>
                <w:kern w:val="0"/>
                <w:sz w:val="16"/>
                <w:szCs w:val="16"/>
                <w:highlight w:val="none"/>
                <w:u w:val="none"/>
                <w:lang w:val="en-US" w:eastAsia="zh-CN" w:bidi="ar"/>
              </w:rPr>
              <w:t>按</w:t>
            </w:r>
            <w:r>
              <w:rPr>
                <w:rFonts w:hint="default" w:ascii="宋体" w:hAnsi="宋体" w:eastAsia="宋体" w:cs="宋体"/>
                <w:i w:val="0"/>
                <w:iCs w:val="0"/>
                <w:color w:val="auto"/>
                <w:kern w:val="0"/>
                <w:sz w:val="16"/>
                <w:szCs w:val="16"/>
                <w:highlight w:val="none"/>
                <w:u w:val="none"/>
                <w:lang w:val="en-US" w:eastAsia="zh-CN" w:bidi="ar"/>
              </w:rPr>
              <w:t>月拨付农转非人员生活保障金，资金发放及时</w:t>
            </w:r>
            <w:r>
              <w:rPr>
                <w:rFonts w:hint="eastAsia" w:ascii="宋体" w:hAnsi="宋体" w:eastAsia="宋体" w:cs="宋体"/>
                <w:i w:val="0"/>
                <w:iCs w:val="0"/>
                <w:color w:val="auto"/>
                <w:kern w:val="0"/>
                <w:sz w:val="16"/>
                <w:szCs w:val="16"/>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预算执行情况（10分）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年度预算数（万元）</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年初预算</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调整后预算数</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预算执行率</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总额</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ascii="宋体" w:hAnsi="宋体" w:eastAsia="宋体" w:cs="宋体"/>
                <w:i w:val="0"/>
                <w:iCs w:val="0"/>
                <w:color w:val="auto"/>
                <w:kern w:val="0"/>
                <w:sz w:val="16"/>
                <w:szCs w:val="16"/>
                <w:highlight w:val="none"/>
                <w:u w:val="none"/>
                <w:lang w:val="en-US" w:eastAsia="zh-CN" w:bidi="ar"/>
              </w:rPr>
              <w:t>120.00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6"/>
                <w:szCs w:val="16"/>
                <w:highlight w:val="none"/>
                <w:u w:val="none"/>
                <w:lang w:val="en-US" w:eastAsia="zh-CN" w:bidi="ar"/>
              </w:rPr>
              <w:t>260</w:t>
            </w:r>
            <w:r>
              <w:rPr>
                <w:rFonts w:ascii="宋体" w:hAnsi="宋体" w:eastAsia="宋体" w:cs="宋体"/>
                <w:i w:val="0"/>
                <w:iCs w:val="0"/>
                <w:color w:val="auto"/>
                <w:kern w:val="0"/>
                <w:sz w:val="16"/>
                <w:szCs w:val="16"/>
                <w:highlight w:val="none"/>
                <w:u w:val="none"/>
                <w:lang w:val="en-US" w:eastAsia="zh-CN" w:bidi="ar"/>
              </w:rPr>
              <w:t>.00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260.00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6"/>
                <w:szCs w:val="16"/>
                <w:highlight w:val="none"/>
                <w:u w:val="none"/>
                <w:lang w:val="en-US" w:eastAsia="zh-CN" w:bidi="ar"/>
              </w:rPr>
              <w:t>100</w:t>
            </w:r>
            <w:r>
              <w:rPr>
                <w:rFonts w:ascii="宋体" w:hAnsi="宋体" w:eastAsia="宋体" w:cs="宋体"/>
                <w:i w:val="0"/>
                <w:iCs w:val="0"/>
                <w:color w:val="auto"/>
                <w:kern w:val="0"/>
                <w:sz w:val="16"/>
                <w:szCs w:val="16"/>
                <w:highlight w:val="none"/>
                <w:u w:val="none"/>
                <w:lang w:val="en-US" w:eastAsia="zh-CN" w:bidi="ar"/>
              </w:rPr>
              <w:t>%</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其中：财政资金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120.00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260.00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260.00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1</w:t>
            </w:r>
            <w:r>
              <w:rPr>
                <w:rFonts w:hint="eastAsia" w:ascii="宋体" w:hAnsi="宋体" w:eastAsia="宋体" w:cs="宋体"/>
                <w:i w:val="0"/>
                <w:iCs w:val="0"/>
                <w:color w:val="auto"/>
                <w:kern w:val="0"/>
                <w:sz w:val="16"/>
                <w:szCs w:val="16"/>
                <w:highlight w:val="none"/>
                <w:u w:val="none"/>
                <w:lang w:val="en-US" w:eastAsia="zh-CN" w:bidi="ar"/>
              </w:rPr>
              <w:t>00</w:t>
            </w:r>
            <w:r>
              <w:rPr>
                <w:rFonts w:ascii="宋体" w:hAnsi="宋体" w:eastAsia="宋体" w:cs="宋体"/>
                <w:i w:val="0"/>
                <w:iCs w:val="0"/>
                <w:color w:val="auto"/>
                <w:kern w:val="0"/>
                <w:sz w:val="16"/>
                <w:szCs w:val="16"/>
                <w:highlight w:val="none"/>
                <w:u w:val="none"/>
                <w:lang w:val="en-US" w:eastAsia="zh-CN" w:bidi="ar"/>
              </w:rPr>
              <w:t>%</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财政专户管理资金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单位资金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其他资金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绩效指标（90分）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一级指标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二级指标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三级指标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指标性质</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度量单位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完成值</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产出指标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数量指标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发放对象人数</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60" w:firstLineChars="200"/>
              <w:jc w:val="both"/>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z w:val="18"/>
                <w:szCs w:val="18"/>
                <w:highlight w:val="none"/>
                <w:u w:val="none"/>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315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315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质量指标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发放成功率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99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100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时效指标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发放到位时间</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按期</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按期</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效益指标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经济效益指标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促进经济发展</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社会效益指标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80" w:firstLineChars="100"/>
              <w:jc w:val="both"/>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促进群体和谐稳定</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农转非人员满意度</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2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合计</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评价结论</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该项目自评得分100分。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存在问题</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改进措施</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809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项目负责人： </w:t>
            </w:r>
          </w:p>
        </w:tc>
        <w:tc>
          <w:tcPr>
            <w:tcW w:w="690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001"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auto"/>
                <w:sz w:val="30"/>
                <w:szCs w:val="30"/>
                <w:highlight w:val="none"/>
                <w:u w:val="none"/>
              </w:rPr>
            </w:pPr>
            <w:r>
              <w:rPr>
                <w:rFonts w:hint="default" w:ascii="Times New Roman" w:hAnsi="Times New Roman" w:eastAsia="黑体" w:cs="Times New Roman"/>
                <w:b/>
                <w:bCs/>
                <w:i w:val="0"/>
                <w:iCs w:val="0"/>
                <w:color w:val="auto"/>
                <w:kern w:val="0"/>
                <w:sz w:val="30"/>
                <w:szCs w:val="30"/>
                <w:highlight w:val="none"/>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项目名称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51052121T000000071928-建国初期职工困难补助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主管部门</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劳动社保部门</w:t>
            </w:r>
          </w:p>
        </w:tc>
        <w:tc>
          <w:tcPr>
            <w:tcW w:w="1350" w:type="dxa"/>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highlight w:val="none"/>
                <w:u w:val="none"/>
                <w:lang w:val="en-US" w:eastAsia="zh-CN" w:bidi="ar"/>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实施单位 </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（盖章）</w:t>
            </w:r>
          </w:p>
        </w:tc>
        <w:tc>
          <w:tcPr>
            <w:tcW w:w="29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泸县</w:t>
            </w:r>
            <w:r>
              <w:rPr>
                <w:rFonts w:hint="eastAsia" w:ascii="Times New Roman" w:hAnsi="Times New Roman" w:eastAsia="宋体" w:cs="Times New Roman"/>
                <w:i w:val="0"/>
                <w:iCs w:val="0"/>
                <w:color w:val="auto"/>
                <w:kern w:val="0"/>
                <w:sz w:val="18"/>
                <w:szCs w:val="18"/>
                <w:highlight w:val="none"/>
                <w:u w:val="none"/>
                <w:lang w:val="en-US" w:eastAsia="zh-CN" w:bidi="ar"/>
              </w:rPr>
              <w:t>社会保险事业管理局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项目基本情况</w:t>
            </w: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1.项目年度目标完成情况</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项目年度目标</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对建国初期困难职工提供补助，一定程度上解决其生活上的困难。</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lang w:val="en-US"/>
              </w:rPr>
            </w:pPr>
            <w:r>
              <w:rPr>
                <w:rFonts w:hint="eastAsia" w:ascii="黑体" w:hAnsi="黑体" w:eastAsia="黑体" w:cs="黑体"/>
                <w:i w:val="0"/>
                <w:iCs w:val="0"/>
                <w:color w:val="auto"/>
                <w:kern w:val="0"/>
                <w:sz w:val="16"/>
                <w:szCs w:val="16"/>
                <w:highlight w:val="none"/>
                <w:u w:val="none"/>
                <w:lang w:val="en-US" w:eastAsia="zh-CN" w:bidi="ar"/>
              </w:rPr>
              <w:t>建国初期职工困难补助已按时发放到位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2.项目实施内容及过程概述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宋体" w:hAnsi="宋体" w:eastAsia="宋体" w:cs="宋体"/>
                <w:i w:val="0"/>
                <w:iCs w:val="0"/>
                <w:color w:val="auto"/>
                <w:kern w:val="0"/>
                <w:sz w:val="16"/>
                <w:szCs w:val="16"/>
                <w:highlight w:val="none"/>
                <w:u w:val="none"/>
                <w:lang w:val="en-US" w:eastAsia="zh-CN" w:bidi="ar"/>
              </w:rPr>
              <w:t>每月按进度拨付检出困难职工补助，保障建国初期参加革命工作的退休干部正常基本生活。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预算执行情况（10分）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年度预算数（万元）</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年初预算</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调整后预算数</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预算执行率</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总额</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1.73</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1.73</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1.73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100.00%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其中：财政资金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1.73</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1.73</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1.73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100.00%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财政专户管理资金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单位资金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其他资金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绩效指标（90分）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一级指标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二级指标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三级指标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指标性质</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度量单位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完成值</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产出指标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数量指标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发放对象人数</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4</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质量指标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发放成功率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99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100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时效指标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发放</w:t>
            </w:r>
            <w:r>
              <w:rPr>
                <w:rFonts w:hint="eastAsia" w:ascii="Times New Roman" w:hAnsi="Times New Roman" w:eastAsia="宋体" w:cs="Times New Roman"/>
                <w:i w:val="0"/>
                <w:iCs w:val="0"/>
                <w:color w:val="auto"/>
                <w:kern w:val="0"/>
                <w:sz w:val="18"/>
                <w:szCs w:val="18"/>
                <w:highlight w:val="none"/>
                <w:u w:val="none"/>
                <w:lang w:val="en-US" w:eastAsia="zh-CN" w:bidi="ar"/>
              </w:rPr>
              <w:t>到位</w:t>
            </w:r>
            <w:r>
              <w:rPr>
                <w:rFonts w:hint="default" w:ascii="Times New Roman" w:hAnsi="Times New Roman" w:eastAsia="宋体" w:cs="Times New Roman"/>
                <w:i w:val="0"/>
                <w:iCs w:val="0"/>
                <w:color w:val="auto"/>
                <w:kern w:val="0"/>
                <w:sz w:val="18"/>
                <w:szCs w:val="18"/>
                <w:highlight w:val="none"/>
                <w:u w:val="none"/>
                <w:lang w:val="en-US" w:eastAsia="zh-CN" w:bidi="ar"/>
              </w:rPr>
              <w:t>时间</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按期</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按期</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效益指标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经济效益指标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r>
              <w:rPr>
                <w:rFonts w:hint="eastAsia" w:ascii="Times New Roman" w:hAnsi="Times New Roman" w:eastAsia="宋体" w:cs="Times New Roman"/>
                <w:i w:val="0"/>
                <w:iCs w:val="0"/>
                <w:color w:val="auto"/>
                <w:kern w:val="0"/>
                <w:sz w:val="18"/>
                <w:szCs w:val="18"/>
                <w:highlight w:val="none"/>
                <w:u w:val="none"/>
                <w:lang w:val="en-US" w:eastAsia="zh-CN" w:bidi="ar"/>
              </w:rPr>
              <w:t>消费</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社会效益指标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r>
              <w:rPr>
                <w:rFonts w:hint="eastAsia" w:ascii="Times New Roman" w:hAnsi="Times New Roman" w:eastAsia="宋体" w:cs="Times New Roman"/>
                <w:i w:val="0"/>
                <w:iCs w:val="0"/>
                <w:color w:val="auto"/>
                <w:kern w:val="0"/>
                <w:sz w:val="18"/>
                <w:szCs w:val="18"/>
                <w:highlight w:val="none"/>
                <w:u w:val="none"/>
                <w:lang w:val="en-US" w:eastAsia="zh-CN" w:bidi="ar"/>
              </w:rPr>
              <w:t>群体稳定</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建国初期职工</w:t>
            </w:r>
            <w:r>
              <w:rPr>
                <w:rFonts w:hint="default" w:ascii="Times New Roman" w:hAnsi="Times New Roman" w:eastAsia="宋体" w:cs="Times New Roman"/>
                <w:i w:val="0"/>
                <w:iCs w:val="0"/>
                <w:color w:val="auto"/>
                <w:kern w:val="0"/>
                <w:sz w:val="18"/>
                <w:szCs w:val="18"/>
                <w:highlight w:val="none"/>
                <w:u w:val="none"/>
                <w:lang w:val="en-US" w:eastAsia="zh-CN" w:bidi="ar"/>
              </w:rPr>
              <w:t>满意度</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2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合计</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评价结论</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该项目自评得分100分。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存在问题</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lang w:val="en-US"/>
              </w:rPr>
            </w:pPr>
            <w:r>
              <w:rPr>
                <w:rFonts w:hint="eastAsia" w:ascii="Times New Roman" w:hAnsi="Times New Roman" w:eastAsia="微软雅黑" w:cs="Times New Roman"/>
                <w:i w:val="0"/>
                <w:iCs w:val="0"/>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改进措施</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lang w:val="en-US"/>
              </w:rPr>
            </w:pPr>
            <w:r>
              <w:rPr>
                <w:rFonts w:hint="eastAsia" w:ascii="Times New Roman" w:hAnsi="Times New Roman" w:eastAsia="微软雅黑" w:cs="Times New Roman"/>
                <w:i w:val="0"/>
                <w:iCs w:val="0"/>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809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项目负责人： </w:t>
            </w:r>
          </w:p>
        </w:tc>
        <w:tc>
          <w:tcPr>
            <w:tcW w:w="690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001"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auto"/>
                <w:sz w:val="30"/>
                <w:szCs w:val="30"/>
                <w:highlight w:val="none"/>
                <w:u w:val="none"/>
              </w:rPr>
            </w:pPr>
            <w:r>
              <w:rPr>
                <w:rFonts w:hint="default" w:ascii="Times New Roman" w:hAnsi="Times New Roman" w:eastAsia="黑体" w:cs="Times New Roman"/>
                <w:b/>
                <w:bCs/>
                <w:i w:val="0"/>
                <w:iCs w:val="0"/>
                <w:color w:val="auto"/>
                <w:kern w:val="0"/>
                <w:sz w:val="30"/>
                <w:szCs w:val="30"/>
                <w:highlight w:val="none"/>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项目名称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51052121T000000071940-离休干部津贴补贴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主管部门</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劳动社保部门</w:t>
            </w:r>
          </w:p>
        </w:tc>
        <w:tc>
          <w:tcPr>
            <w:tcW w:w="1350" w:type="dxa"/>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highlight w:val="none"/>
                <w:u w:val="none"/>
                <w:lang w:val="en-US" w:eastAsia="zh-CN" w:bidi="ar"/>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实施单位 </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（盖章）</w:t>
            </w:r>
          </w:p>
        </w:tc>
        <w:tc>
          <w:tcPr>
            <w:tcW w:w="29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泸县</w:t>
            </w:r>
            <w:r>
              <w:rPr>
                <w:rFonts w:hint="eastAsia" w:ascii="Times New Roman" w:hAnsi="Times New Roman" w:eastAsia="宋体" w:cs="Times New Roman"/>
                <w:i w:val="0"/>
                <w:iCs w:val="0"/>
                <w:color w:val="auto"/>
                <w:kern w:val="0"/>
                <w:sz w:val="18"/>
                <w:szCs w:val="18"/>
                <w:highlight w:val="none"/>
                <w:u w:val="none"/>
                <w:lang w:val="en-US" w:eastAsia="zh-CN" w:bidi="ar"/>
              </w:rPr>
              <w:t>社会保险事业管理局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项目基本情况</w:t>
            </w: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1.项目年度目标完成情况</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项目年度目标</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保证离休干部正常生活，提升离休干部幸福感、认同感，让离休干部老有所依。</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lang w:val="en-US" w:eastAsia="zh-CN"/>
              </w:rPr>
            </w:pPr>
            <w:r>
              <w:rPr>
                <w:rFonts w:hint="eastAsia" w:ascii="Times New Roman" w:hAnsi="Times New Roman" w:eastAsia="黑体" w:cs="Times New Roman"/>
                <w:i w:val="0"/>
                <w:iCs w:val="0"/>
                <w:color w:val="auto"/>
                <w:sz w:val="18"/>
                <w:szCs w:val="18"/>
                <w:highlight w:val="none"/>
                <w:u w:val="none"/>
                <w:lang w:val="en-US" w:eastAsia="zh-CN"/>
              </w:rPr>
              <w:t>按月按时拨付，完成全年发放任务。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2.项目实施内容及过程概述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宋体" w:hAnsi="宋体" w:eastAsia="宋体" w:cs="宋体"/>
                <w:i w:val="0"/>
                <w:iCs w:val="0"/>
                <w:color w:val="auto"/>
                <w:kern w:val="0"/>
                <w:sz w:val="16"/>
                <w:szCs w:val="16"/>
                <w:highlight w:val="none"/>
                <w:u w:val="none"/>
                <w:lang w:val="en-US" w:eastAsia="zh-CN" w:bidi="ar"/>
              </w:rPr>
              <w:t>每月按进度拨付离休干部津补贴，保障离休干部生活待遇正常发放</w:t>
            </w:r>
            <w:r>
              <w:rPr>
                <w:rFonts w:hint="eastAsia" w:ascii="宋体" w:hAnsi="宋体" w:eastAsia="宋体" w:cs="宋体"/>
                <w:i w:val="0"/>
                <w:iCs w:val="0"/>
                <w:color w:val="auto"/>
                <w:kern w:val="0"/>
                <w:sz w:val="16"/>
                <w:szCs w:val="16"/>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预算执行情况（10分）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年度预算数（万元）</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年初预算</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调整后预算数</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预算执行率</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总额</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ascii="宋体" w:hAnsi="宋体" w:eastAsia="宋体" w:cs="宋体"/>
                <w:i w:val="0"/>
                <w:iCs w:val="0"/>
                <w:color w:val="auto"/>
                <w:kern w:val="0"/>
                <w:sz w:val="16"/>
                <w:szCs w:val="16"/>
                <w:highlight w:val="none"/>
                <w:u w:val="none"/>
                <w:lang w:val="en-US" w:eastAsia="zh-CN" w:bidi="ar"/>
              </w:rPr>
              <w:t>52.15</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52.15</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52.15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100.00%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其中：财政资金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ascii="宋体" w:hAnsi="宋体" w:eastAsia="宋体" w:cs="宋体"/>
                <w:i w:val="0"/>
                <w:iCs w:val="0"/>
                <w:color w:val="auto"/>
                <w:kern w:val="0"/>
                <w:sz w:val="16"/>
                <w:szCs w:val="16"/>
                <w:highlight w:val="none"/>
                <w:u w:val="none"/>
                <w:lang w:val="en-US" w:eastAsia="zh-CN" w:bidi="ar"/>
              </w:rPr>
              <w:t>52.15</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52.15</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52.15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100.00%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财政专户管理资金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单位资金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其他资金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绩效指标（90分）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一级指标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二级指标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三级指标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指标性质</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度量单位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完成值</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产出指标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数量指标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发放对象人数</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质量指标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发放成功率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100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时效指标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发放时间</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按期</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按期</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效益指标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经济效益指标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r>
              <w:rPr>
                <w:rFonts w:hint="eastAsia" w:ascii="Times New Roman" w:hAnsi="Times New Roman" w:eastAsia="宋体" w:cs="Times New Roman"/>
                <w:i w:val="0"/>
                <w:iCs w:val="0"/>
                <w:color w:val="auto"/>
                <w:kern w:val="0"/>
                <w:sz w:val="18"/>
                <w:szCs w:val="18"/>
                <w:highlight w:val="none"/>
                <w:u w:val="none"/>
                <w:lang w:val="en-US" w:eastAsia="zh-CN" w:bidi="ar"/>
              </w:rPr>
              <w:t>消费</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社会效益指标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r>
              <w:rPr>
                <w:rFonts w:hint="eastAsia" w:ascii="Times New Roman" w:hAnsi="Times New Roman" w:eastAsia="宋体" w:cs="Times New Roman"/>
                <w:i w:val="0"/>
                <w:iCs w:val="0"/>
                <w:color w:val="auto"/>
                <w:kern w:val="0"/>
                <w:sz w:val="18"/>
                <w:szCs w:val="18"/>
                <w:highlight w:val="none"/>
                <w:u w:val="none"/>
                <w:lang w:val="en-US" w:eastAsia="zh-CN" w:bidi="ar"/>
              </w:rPr>
              <w:t>离休群体稳定</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80" w:firstLineChars="100"/>
              <w:jc w:val="both"/>
              <w:textAlignment w:val="center"/>
              <w:rPr>
                <w:rFonts w:hint="default" w:ascii="Times New Roman" w:hAnsi="Times New Roman" w:eastAsia="宋体" w:cs="Times New Roman"/>
                <w:i w:val="0"/>
                <w:iCs w:val="0"/>
                <w:color w:val="auto"/>
                <w:sz w:val="18"/>
                <w:szCs w:val="18"/>
                <w:highlight w:val="none"/>
                <w:u w:val="none"/>
              </w:rPr>
            </w:pPr>
            <w:r>
              <w:rPr>
                <w:rFonts w:hint="eastAsia" w:ascii="Times New Roman" w:hAnsi="Times New Roman" w:eastAsia="宋体" w:cs="Times New Roman"/>
                <w:i w:val="0"/>
                <w:iCs w:val="0"/>
                <w:color w:val="auto"/>
                <w:kern w:val="0"/>
                <w:sz w:val="18"/>
                <w:szCs w:val="18"/>
                <w:highlight w:val="none"/>
                <w:u w:val="none"/>
                <w:lang w:val="en-US" w:eastAsia="zh-CN" w:bidi="ar"/>
              </w:rPr>
              <w:t>离休干部</w:t>
            </w:r>
            <w:r>
              <w:rPr>
                <w:rFonts w:hint="default" w:ascii="Times New Roman" w:hAnsi="Times New Roman" w:eastAsia="宋体" w:cs="Times New Roman"/>
                <w:i w:val="0"/>
                <w:iCs w:val="0"/>
                <w:color w:val="auto"/>
                <w:kern w:val="0"/>
                <w:sz w:val="18"/>
                <w:szCs w:val="18"/>
                <w:highlight w:val="none"/>
                <w:u w:val="none"/>
                <w:lang w:val="en-US" w:eastAsia="zh-CN" w:bidi="ar"/>
              </w:rPr>
              <w:t>满意度</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2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合计</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评价结论</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.该项目自评得分100分。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存在问题</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改进措施</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809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项目负责人： </w:t>
            </w:r>
          </w:p>
        </w:tc>
        <w:tc>
          <w:tcPr>
            <w:tcW w:w="690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001"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auto"/>
                <w:sz w:val="30"/>
                <w:szCs w:val="30"/>
                <w:highlight w:val="none"/>
                <w:u w:val="none"/>
              </w:rPr>
            </w:pPr>
            <w:r>
              <w:rPr>
                <w:rFonts w:hint="default" w:ascii="Times New Roman" w:hAnsi="Times New Roman" w:eastAsia="黑体" w:cs="Times New Roman"/>
                <w:b/>
                <w:bCs/>
                <w:i w:val="0"/>
                <w:iCs w:val="0"/>
                <w:color w:val="auto"/>
                <w:kern w:val="0"/>
                <w:sz w:val="30"/>
                <w:szCs w:val="30"/>
                <w:highlight w:val="none"/>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项目名称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51052121T000000072080-政府采购费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主管部门</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劳动社保部门</w:t>
            </w:r>
          </w:p>
        </w:tc>
        <w:tc>
          <w:tcPr>
            <w:tcW w:w="1350" w:type="dxa"/>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highlight w:val="none"/>
                <w:u w:val="none"/>
                <w:lang w:val="en-US" w:eastAsia="zh-CN" w:bidi="ar"/>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实施单位 </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（盖章）</w:t>
            </w:r>
          </w:p>
        </w:tc>
        <w:tc>
          <w:tcPr>
            <w:tcW w:w="29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泸县</w:t>
            </w:r>
            <w:r>
              <w:rPr>
                <w:rFonts w:hint="eastAsia" w:ascii="Times New Roman" w:hAnsi="Times New Roman" w:eastAsia="宋体" w:cs="Times New Roman"/>
                <w:i w:val="0"/>
                <w:iCs w:val="0"/>
                <w:color w:val="auto"/>
                <w:kern w:val="0"/>
                <w:sz w:val="18"/>
                <w:szCs w:val="18"/>
                <w:highlight w:val="none"/>
                <w:u w:val="none"/>
                <w:lang w:val="en-US" w:eastAsia="zh-CN" w:bidi="ar"/>
              </w:rPr>
              <w:t>社会保险事业管理局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项目基本情况</w:t>
            </w: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1.项目年度目标完成情况</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项目年度目标</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lang w:val="en-US"/>
              </w:rPr>
            </w:pPr>
            <w:r>
              <w:rPr>
                <w:rFonts w:ascii="宋体" w:hAnsi="宋体" w:eastAsia="宋体" w:cs="宋体"/>
                <w:i w:val="0"/>
                <w:iCs w:val="0"/>
                <w:color w:val="auto"/>
                <w:kern w:val="0"/>
                <w:sz w:val="16"/>
                <w:szCs w:val="16"/>
                <w:highlight w:val="none"/>
                <w:u w:val="none"/>
                <w:lang w:val="en-US" w:eastAsia="zh-CN" w:bidi="ar"/>
              </w:rPr>
              <w:t>做好</w:t>
            </w:r>
            <w:r>
              <w:rPr>
                <w:rFonts w:hint="eastAsia" w:ascii="宋体" w:hAnsi="宋体" w:eastAsia="宋体" w:cs="宋体"/>
                <w:i w:val="0"/>
                <w:iCs w:val="0"/>
                <w:color w:val="auto"/>
                <w:kern w:val="0"/>
                <w:sz w:val="16"/>
                <w:szCs w:val="16"/>
                <w:highlight w:val="none"/>
                <w:u w:val="none"/>
                <w:lang w:val="en-US" w:eastAsia="zh-CN" w:bidi="ar"/>
              </w:rPr>
              <w:t>设备</w:t>
            </w:r>
            <w:r>
              <w:rPr>
                <w:rFonts w:ascii="宋体" w:hAnsi="宋体" w:eastAsia="宋体" w:cs="宋体"/>
                <w:i w:val="0"/>
                <w:iCs w:val="0"/>
                <w:color w:val="auto"/>
                <w:kern w:val="0"/>
                <w:sz w:val="16"/>
                <w:szCs w:val="16"/>
                <w:highlight w:val="none"/>
                <w:u w:val="none"/>
                <w:lang w:val="en-US" w:eastAsia="zh-CN" w:bidi="ar"/>
              </w:rPr>
              <w:t>采购工作，保障单位</w:t>
            </w:r>
            <w:r>
              <w:rPr>
                <w:rFonts w:hint="eastAsia" w:ascii="宋体" w:hAnsi="宋体" w:eastAsia="宋体" w:cs="宋体"/>
                <w:i w:val="0"/>
                <w:iCs w:val="0"/>
                <w:color w:val="auto"/>
                <w:kern w:val="0"/>
                <w:sz w:val="16"/>
                <w:szCs w:val="16"/>
                <w:highlight w:val="none"/>
                <w:u w:val="none"/>
                <w:lang w:val="en-US" w:eastAsia="zh-CN" w:bidi="ar"/>
              </w:rPr>
              <w:t>基本运行。</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已完成所有签字程序及付款程序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default" w:ascii="宋体" w:hAnsi="宋体" w:eastAsia="宋体" w:cs="宋体"/>
                <w:i w:val="0"/>
                <w:iCs w:val="0"/>
                <w:color w:val="auto"/>
                <w:kern w:val="0"/>
                <w:sz w:val="16"/>
                <w:szCs w:val="16"/>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项目实施内容及过程概述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按政府采购相关要求完成采购工作，及时跟踪采购流程，确保资金及时拨付。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预算执行情况（10分）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年度预算数（万元）</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年初预算</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调整后预算数</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预算执行率</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总额</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ascii="宋体" w:hAnsi="宋体" w:eastAsia="宋体" w:cs="宋体"/>
                <w:i w:val="0"/>
                <w:iCs w:val="0"/>
                <w:color w:val="auto"/>
                <w:kern w:val="0"/>
                <w:sz w:val="16"/>
                <w:szCs w:val="16"/>
                <w:highlight w:val="none"/>
                <w:u w:val="none"/>
                <w:lang w:val="en-US" w:eastAsia="zh-CN" w:bidi="ar"/>
              </w:rPr>
              <w:t>3.00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1.70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1.70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100.00%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其中：财政资金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ascii="宋体" w:hAnsi="宋体" w:eastAsia="宋体" w:cs="宋体"/>
                <w:i w:val="0"/>
                <w:iCs w:val="0"/>
                <w:color w:val="auto"/>
                <w:kern w:val="0"/>
                <w:sz w:val="16"/>
                <w:szCs w:val="16"/>
                <w:highlight w:val="none"/>
                <w:u w:val="none"/>
                <w:lang w:val="en-US" w:eastAsia="zh-CN" w:bidi="ar"/>
              </w:rPr>
              <w:t>3.00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1.70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1.70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100.00%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财政专户管理资金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单位资金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其他资金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绩效指标（90分）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一级指标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二级指标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三级指标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指标性质</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度量单位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完成值</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产出指标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数量指标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60" w:firstLineChars="200"/>
              <w:jc w:val="both"/>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设备购置数</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4</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质量指标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设备质量</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合格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合格</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时效指标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资金及时拨付</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按</w:t>
            </w:r>
            <w:r>
              <w:rPr>
                <w:rFonts w:hint="eastAsia" w:ascii="Times New Roman" w:hAnsi="Times New Roman" w:eastAsia="宋体" w:cs="Times New Roman"/>
                <w:i w:val="0"/>
                <w:iCs w:val="0"/>
                <w:color w:val="auto"/>
                <w:kern w:val="0"/>
                <w:sz w:val="18"/>
                <w:szCs w:val="18"/>
                <w:highlight w:val="none"/>
                <w:u w:val="none"/>
                <w:lang w:val="en-US" w:eastAsia="zh-CN" w:bidi="ar"/>
              </w:rPr>
              <w:t>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按时</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效益指标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可持续发展指标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促进发展</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好坏</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2"/>
                <w:sz w:val="18"/>
                <w:szCs w:val="18"/>
                <w:highlight w:val="none"/>
                <w:u w:val="none"/>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好</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60" w:firstLineChars="200"/>
              <w:jc w:val="both"/>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满意度指标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职工满意度指标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60" w:firstLineChars="200"/>
              <w:jc w:val="both"/>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职工满意度</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高中低</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高</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Times New Roman" w:hAnsi="Times New Roman" w:eastAsia="宋体" w:cs="Times New Roman"/>
                <w:i w:val="0"/>
                <w:iCs w:val="0"/>
                <w:color w:val="auto"/>
                <w:kern w:val="0"/>
                <w:sz w:val="18"/>
                <w:szCs w:val="18"/>
                <w:highlight w:val="none"/>
                <w:u w:val="none"/>
                <w:lang w:val="en-US" w:eastAsia="zh-CN" w:bidi="ar"/>
              </w:rPr>
              <w:t>成本</w:t>
            </w:r>
            <w:r>
              <w:rPr>
                <w:rFonts w:hint="default" w:ascii="Times New Roman" w:hAnsi="Times New Roman" w:eastAsia="宋体" w:cs="Times New Roman"/>
                <w:i w:val="0"/>
                <w:iCs w:val="0"/>
                <w:color w:val="auto"/>
                <w:kern w:val="0"/>
                <w:sz w:val="18"/>
                <w:szCs w:val="18"/>
                <w:highlight w:val="none"/>
                <w:u w:val="none"/>
                <w:lang w:val="en-US" w:eastAsia="zh-CN" w:bidi="ar"/>
              </w:rPr>
              <w:t>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Times New Roman" w:hAnsi="Times New Roman" w:eastAsia="宋体" w:cs="Times New Roman"/>
                <w:i w:val="0"/>
                <w:iCs w:val="0"/>
                <w:color w:val="auto"/>
                <w:kern w:val="0"/>
                <w:sz w:val="18"/>
                <w:szCs w:val="18"/>
                <w:highlight w:val="none"/>
                <w:u w:val="none"/>
                <w:lang w:val="en-US" w:eastAsia="zh-CN" w:bidi="ar"/>
              </w:rPr>
              <w:t>经济成本</w:t>
            </w:r>
            <w:r>
              <w:rPr>
                <w:rFonts w:hint="default" w:ascii="Times New Roman" w:hAnsi="Times New Roman" w:eastAsia="宋体" w:cs="Times New Roman"/>
                <w:i w:val="0"/>
                <w:iCs w:val="0"/>
                <w:color w:val="auto"/>
                <w:kern w:val="0"/>
                <w:sz w:val="18"/>
                <w:szCs w:val="18"/>
                <w:highlight w:val="none"/>
                <w:u w:val="none"/>
                <w:lang w:val="en-US" w:eastAsia="zh-CN" w:bidi="ar"/>
              </w:rPr>
              <w:t>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总额控制</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z w:val="18"/>
                <w:szCs w:val="18"/>
                <w:highlight w:val="none"/>
                <w:u w:val="none"/>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1.7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万元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1.7</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2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合计</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评价结论</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rPr>
            </w:pPr>
            <w:r>
              <w:rPr>
                <w:rFonts w:hint="eastAsia" w:ascii="Times New Roman" w:hAnsi="Times New Roman" w:eastAsia="微软雅黑" w:cs="Times New Roman"/>
                <w:i w:val="0"/>
                <w:iCs w:val="0"/>
                <w:color w:val="auto"/>
                <w:kern w:val="0"/>
                <w:sz w:val="16"/>
                <w:szCs w:val="16"/>
                <w:highlight w:val="none"/>
                <w:u w:val="none"/>
                <w:lang w:val="en-US" w:eastAsia="zh-CN" w:bidi="ar"/>
              </w:rPr>
              <w:t>保质保量完成办公设备购置工作，单位运行平稳有序，</w:t>
            </w:r>
            <w:r>
              <w:rPr>
                <w:rFonts w:hint="default" w:ascii="Times New Roman" w:hAnsi="Times New Roman" w:eastAsia="微软雅黑" w:cs="Times New Roman"/>
                <w:i w:val="0"/>
                <w:iCs w:val="0"/>
                <w:color w:val="auto"/>
                <w:kern w:val="0"/>
                <w:sz w:val="16"/>
                <w:szCs w:val="16"/>
                <w:highlight w:val="none"/>
                <w:u w:val="none"/>
                <w:lang w:val="en-US" w:eastAsia="zh-CN" w:bidi="ar"/>
              </w:rPr>
              <w:t>该项目自评得分100分。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存在问题</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前期采购进度较慢。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改进措施</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加强沟通，随时跟进。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809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项目负责人： </w:t>
            </w:r>
          </w:p>
        </w:tc>
        <w:tc>
          <w:tcPr>
            <w:tcW w:w="690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001"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auto"/>
                <w:sz w:val="30"/>
                <w:szCs w:val="30"/>
                <w:highlight w:val="none"/>
                <w:u w:val="none"/>
              </w:rPr>
            </w:pPr>
            <w:r>
              <w:rPr>
                <w:rFonts w:hint="default" w:ascii="Times New Roman" w:hAnsi="Times New Roman" w:eastAsia="黑体" w:cs="Times New Roman"/>
                <w:b/>
                <w:bCs/>
                <w:i w:val="0"/>
                <w:iCs w:val="0"/>
                <w:color w:val="auto"/>
                <w:kern w:val="0"/>
                <w:sz w:val="30"/>
                <w:szCs w:val="30"/>
                <w:highlight w:val="none"/>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项目名称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51052122T000006075372-代管资金项目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主管部门</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劳动社保部门</w:t>
            </w:r>
          </w:p>
        </w:tc>
        <w:tc>
          <w:tcPr>
            <w:tcW w:w="1350" w:type="dxa"/>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highlight w:val="none"/>
                <w:u w:val="none"/>
                <w:lang w:val="en-US" w:eastAsia="zh-CN" w:bidi="ar"/>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实施单位 </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（盖章）</w:t>
            </w:r>
          </w:p>
        </w:tc>
        <w:tc>
          <w:tcPr>
            <w:tcW w:w="29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泸县</w:t>
            </w:r>
            <w:r>
              <w:rPr>
                <w:rFonts w:hint="eastAsia" w:ascii="Times New Roman" w:hAnsi="Times New Roman" w:eastAsia="宋体" w:cs="Times New Roman"/>
                <w:i w:val="0"/>
                <w:iCs w:val="0"/>
                <w:color w:val="auto"/>
                <w:kern w:val="0"/>
                <w:sz w:val="18"/>
                <w:szCs w:val="18"/>
                <w:highlight w:val="none"/>
                <w:u w:val="none"/>
                <w:lang w:val="en-US" w:eastAsia="zh-CN" w:bidi="ar"/>
              </w:rPr>
              <w:t>社会保险事业管理局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项目基本情况</w:t>
            </w: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1.项目年度目标完成情况</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项目年度目标</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保证代管资金顺利支付</w:t>
            </w:r>
            <w:r>
              <w:rPr>
                <w:rFonts w:hint="eastAsia" w:ascii="Times New Roman" w:hAnsi="Times New Roman" w:eastAsia="宋体" w:cs="Times New Roman"/>
                <w:i w:val="0"/>
                <w:iCs w:val="0"/>
                <w:color w:val="auto"/>
                <w:kern w:val="0"/>
                <w:sz w:val="18"/>
                <w:szCs w:val="18"/>
                <w:highlight w:val="none"/>
                <w:u w:val="none"/>
                <w:lang w:val="en-US" w:eastAsia="zh-CN" w:bidi="ar"/>
              </w:rPr>
              <w:t>。</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完成代管资金的顺利拨付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2.项目实施内容及过程概述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严格遵守相关法规和财务制度，规范代管资金的拨付流程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预算执行情况（10分）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年度预算数（万元）</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年初预算</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调整后预算数</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预算执行率</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总额</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15.94</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11.89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74.60%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0</w:t>
            </w:r>
          </w:p>
        </w:tc>
        <w:tc>
          <w:tcPr>
            <w:tcW w:w="1801"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lang w:val="en-US" w:eastAsia="zh-CN"/>
              </w:rPr>
            </w:pPr>
            <w:r>
              <w:rPr>
                <w:rFonts w:hint="eastAsia" w:eastAsia="黑体" w:cs="Times New Roman"/>
                <w:i w:val="0"/>
                <w:iCs w:val="0"/>
                <w:color w:val="auto"/>
                <w:sz w:val="18"/>
                <w:szCs w:val="18"/>
                <w:highlight w:val="none"/>
                <w:u w:val="none"/>
                <w:lang w:val="en-US" w:eastAsia="zh-CN"/>
              </w:rPr>
              <w:t>部分业务未发生，尚未拨付。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其中：财政资金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财政专户管理资金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单位资金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15.94</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11.89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74.60%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其他资金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绩效指标（90分）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一级指标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二级指标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三级指标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指标性质</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度量单位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完成值</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产出指标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数量指标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产出率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质量指标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保质保量完成</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保质保量完成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保质保量完成</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保质率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时效指标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完成时限</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按期完成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按期完成</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效益指标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经济效益指标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促进经济发展</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96</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成本指标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经济成本指标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总额控制</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highlight w:val="none"/>
              </w:rPr>
            </w:pPr>
            <w:r>
              <w:rPr>
                <w:rFonts w:ascii="宋体" w:hAnsi="宋体" w:eastAsia="宋体" w:cs="宋体"/>
                <w:i w:val="0"/>
                <w:iCs w:val="0"/>
                <w:color w:val="auto"/>
                <w:kern w:val="0"/>
                <w:sz w:val="16"/>
                <w:szCs w:val="16"/>
                <w:highlight w:val="none"/>
                <w:u w:val="none"/>
                <w:lang w:val="en-US" w:eastAsia="zh-CN" w:bidi="ar"/>
              </w:rPr>
              <w:t>15.94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万元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highlight w:val="none"/>
              </w:rPr>
            </w:pPr>
            <w:r>
              <w:rPr>
                <w:rFonts w:ascii="宋体" w:hAnsi="宋体" w:eastAsia="宋体" w:cs="宋体"/>
                <w:i w:val="0"/>
                <w:iCs w:val="0"/>
                <w:color w:val="auto"/>
                <w:kern w:val="0"/>
                <w:sz w:val="16"/>
                <w:szCs w:val="16"/>
                <w:highlight w:val="none"/>
                <w:u w:val="none"/>
                <w:lang w:val="en-US" w:eastAsia="zh-CN" w:bidi="ar"/>
              </w:rPr>
              <w:t>11.89</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2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合计</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color w:val="auto"/>
                <w:highlight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9</w:t>
            </w:r>
            <w:r>
              <w:rPr>
                <w:rFonts w:hint="eastAsia" w:ascii="Times New Roman" w:hAnsi="Times New Roman" w:eastAsia="宋体" w:cs="Times New Roman"/>
                <w:i w:val="0"/>
                <w:iCs w:val="0"/>
                <w:color w:val="auto"/>
                <w:kern w:val="0"/>
                <w:sz w:val="18"/>
                <w:szCs w:val="18"/>
                <w:highlight w:val="none"/>
                <w:u w:val="none"/>
                <w:lang w:val="en-US" w:eastAsia="zh-CN" w:bidi="ar"/>
              </w:rPr>
              <w:t>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评价结论</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代管资金的顺利拨付，保障了项目的顺利进行，提高了资金的使用效益。自评得分9</w:t>
            </w:r>
            <w:r>
              <w:rPr>
                <w:rFonts w:hint="eastAsia" w:ascii="Times New Roman" w:hAnsi="Times New Roman" w:eastAsia="微软雅黑" w:cs="Times New Roman"/>
                <w:i w:val="0"/>
                <w:iCs w:val="0"/>
                <w:color w:val="auto"/>
                <w:kern w:val="0"/>
                <w:sz w:val="16"/>
                <w:szCs w:val="16"/>
                <w:highlight w:val="none"/>
                <w:u w:val="none"/>
                <w:lang w:val="en-US" w:eastAsia="zh-CN" w:bidi="ar"/>
              </w:rPr>
              <w:t>0</w:t>
            </w:r>
            <w:r>
              <w:rPr>
                <w:rFonts w:hint="default" w:ascii="Times New Roman" w:hAnsi="Times New Roman" w:eastAsia="微软雅黑" w:cs="Times New Roman"/>
                <w:i w:val="0"/>
                <w:iCs w:val="0"/>
                <w:color w:val="auto"/>
                <w:kern w:val="0"/>
                <w:sz w:val="16"/>
                <w:szCs w:val="16"/>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存在问题</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预算执行不够严格。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改进措施</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加强预算管理和沟通协调，不断提高代管资金的管理水平。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001"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auto"/>
                <w:sz w:val="30"/>
                <w:szCs w:val="30"/>
                <w:highlight w:val="none"/>
                <w:u w:val="none"/>
              </w:rPr>
            </w:pPr>
            <w:r>
              <w:rPr>
                <w:rFonts w:hint="default" w:ascii="Times New Roman" w:hAnsi="Times New Roman" w:eastAsia="黑体" w:cs="Times New Roman"/>
                <w:b/>
                <w:bCs/>
                <w:i w:val="0"/>
                <w:iCs w:val="0"/>
                <w:color w:val="auto"/>
                <w:kern w:val="0"/>
                <w:sz w:val="30"/>
                <w:szCs w:val="30"/>
                <w:highlight w:val="none"/>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项目名称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51052123T000008470129-企业退休人员资格认证费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主管部门</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劳动社保部门</w:t>
            </w:r>
          </w:p>
        </w:tc>
        <w:tc>
          <w:tcPr>
            <w:tcW w:w="1350" w:type="dxa"/>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highlight w:val="none"/>
                <w:u w:val="none"/>
                <w:lang w:val="en-US" w:eastAsia="zh-CN" w:bidi="ar"/>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实施单位 </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（盖章）</w:t>
            </w:r>
          </w:p>
        </w:tc>
        <w:tc>
          <w:tcPr>
            <w:tcW w:w="29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泸县</w:t>
            </w:r>
            <w:r>
              <w:rPr>
                <w:rFonts w:hint="eastAsia" w:ascii="Times New Roman" w:hAnsi="Times New Roman" w:eastAsia="宋体" w:cs="Times New Roman"/>
                <w:i w:val="0"/>
                <w:iCs w:val="0"/>
                <w:color w:val="auto"/>
                <w:kern w:val="0"/>
                <w:sz w:val="18"/>
                <w:szCs w:val="18"/>
                <w:highlight w:val="none"/>
                <w:u w:val="none"/>
                <w:lang w:val="en-US" w:eastAsia="zh-CN" w:bidi="ar"/>
              </w:rPr>
              <w:t>社会保险事业管理局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项目基本情况</w:t>
            </w: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1.项目年度目标完成情况</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项目年度目标</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开展企业退休人员资格认证、划转其他县区资格认证费用，确保我县企业退休人员资认证工作不缺位</w:t>
            </w:r>
            <w:r>
              <w:rPr>
                <w:rFonts w:hint="eastAsia" w:ascii="宋体" w:hAnsi="宋体" w:eastAsia="宋体" w:cs="宋体"/>
                <w:i w:val="0"/>
                <w:iCs w:val="0"/>
                <w:color w:val="auto"/>
                <w:kern w:val="0"/>
                <w:sz w:val="16"/>
                <w:szCs w:val="16"/>
                <w:highlight w:val="none"/>
                <w:u w:val="none"/>
                <w:lang w:val="en-US" w:eastAsia="zh-CN" w:bidi="ar"/>
              </w:rPr>
              <w:t>。</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已完成所有签字程序及付款程序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2.项目实施内容及过程概述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通过群发短信、qq群通知、制作宣传页等方式，全方位无死角宣传</w:t>
            </w:r>
            <w:r>
              <w:rPr>
                <w:rFonts w:ascii="宋体" w:hAnsi="宋体" w:eastAsia="宋体" w:cs="宋体"/>
                <w:i w:val="0"/>
                <w:iCs w:val="0"/>
                <w:color w:val="auto"/>
                <w:kern w:val="0"/>
                <w:sz w:val="16"/>
                <w:szCs w:val="16"/>
                <w:highlight w:val="none"/>
                <w:u w:val="none"/>
                <w:lang w:val="en-US" w:eastAsia="zh-CN" w:bidi="ar"/>
              </w:rPr>
              <w:t>企业退休人员资格认证</w:t>
            </w:r>
            <w:r>
              <w:rPr>
                <w:rFonts w:hint="eastAsia" w:ascii="宋体" w:hAnsi="宋体" w:eastAsia="宋体" w:cs="宋体"/>
                <w:i w:val="0"/>
                <w:iCs w:val="0"/>
                <w:color w:val="auto"/>
                <w:kern w:val="0"/>
                <w:sz w:val="16"/>
                <w:szCs w:val="16"/>
                <w:highlight w:val="none"/>
                <w:u w:val="none"/>
                <w:lang w:val="en-US" w:eastAsia="zh-CN" w:bidi="ar"/>
              </w:rPr>
              <w:t>宣传工作</w:t>
            </w:r>
            <w:r>
              <w:rPr>
                <w:rFonts w:ascii="宋体" w:hAnsi="宋体" w:eastAsia="宋体" w:cs="宋体"/>
                <w:i w:val="0"/>
                <w:iCs w:val="0"/>
                <w:color w:val="auto"/>
                <w:kern w:val="0"/>
                <w:sz w:val="16"/>
                <w:szCs w:val="16"/>
                <w:highlight w:val="none"/>
                <w:u w:val="none"/>
                <w:lang w:val="en-US" w:eastAsia="zh-CN" w:bidi="ar"/>
              </w:rPr>
              <w:t>，</w:t>
            </w:r>
            <w:r>
              <w:rPr>
                <w:rFonts w:hint="eastAsia" w:ascii="宋体" w:hAnsi="宋体" w:eastAsia="宋体" w:cs="宋体"/>
                <w:i w:val="0"/>
                <w:iCs w:val="0"/>
                <w:color w:val="auto"/>
                <w:kern w:val="0"/>
                <w:sz w:val="16"/>
                <w:szCs w:val="16"/>
                <w:highlight w:val="none"/>
                <w:u w:val="none"/>
                <w:lang w:val="en-US" w:eastAsia="zh-CN" w:bidi="ar"/>
              </w:rPr>
              <w:t>对身体不便的人员实施上门服务，</w:t>
            </w:r>
            <w:r>
              <w:rPr>
                <w:rFonts w:ascii="宋体" w:hAnsi="宋体" w:eastAsia="宋体" w:cs="宋体"/>
                <w:i w:val="0"/>
                <w:iCs w:val="0"/>
                <w:color w:val="auto"/>
                <w:kern w:val="0"/>
                <w:sz w:val="16"/>
                <w:szCs w:val="16"/>
                <w:highlight w:val="none"/>
                <w:u w:val="none"/>
                <w:lang w:val="en-US" w:eastAsia="zh-CN" w:bidi="ar"/>
              </w:rPr>
              <w:t>保障退休人员养老金的接续正常发</w:t>
            </w:r>
            <w:r>
              <w:rPr>
                <w:rFonts w:hint="eastAsia" w:ascii="宋体" w:hAnsi="宋体" w:eastAsia="宋体" w:cs="宋体"/>
                <w:i w:val="0"/>
                <w:iCs w:val="0"/>
                <w:color w:val="auto"/>
                <w:kern w:val="0"/>
                <w:sz w:val="16"/>
                <w:szCs w:val="16"/>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预算执行情况（10分）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年度预算数（万元）</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年初预算</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调整后预算数</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预算执行率</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总额</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72.00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62.00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62.00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100.00%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其中：财政资金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72.00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62.00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62.00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100.00%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财政专户管理资金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单位资金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其他资金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绩效指标（90分）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一级指标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二级指标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三级指标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指标性质</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度量单位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完成值</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产出指标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数量指标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z w:val="18"/>
                <w:szCs w:val="18"/>
                <w:highlight w:val="none"/>
                <w:u w:val="none"/>
              </w:rPr>
              <w:t>服务对象人员</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72000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72000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质量指标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60" w:firstLineChars="200"/>
              <w:jc w:val="both"/>
              <w:textAlignment w:val="center"/>
              <w:rPr>
                <w:rFonts w:hint="eastAsia"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认证成功率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60" w:firstLineChars="200"/>
              <w:jc w:val="both"/>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98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firstLineChars="300"/>
              <w:jc w:val="both"/>
              <w:textAlignment w:val="center"/>
              <w:rPr>
                <w:rFonts w:hint="default"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99</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时效指标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及时</w:t>
            </w:r>
            <w:r>
              <w:rPr>
                <w:rFonts w:hint="eastAsia" w:ascii="宋体" w:hAnsi="宋体" w:eastAsia="宋体" w:cs="宋体"/>
                <w:i w:val="0"/>
                <w:iCs w:val="0"/>
                <w:color w:val="auto"/>
                <w:kern w:val="0"/>
                <w:sz w:val="16"/>
                <w:szCs w:val="16"/>
                <w:highlight w:val="none"/>
                <w:u w:val="none"/>
                <w:lang w:val="en-US" w:eastAsia="zh-CN" w:bidi="ar"/>
              </w:rPr>
              <w:t>划转资格认证费</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高中低</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i w:val="0"/>
                <w:iCs w:val="0"/>
                <w:color w:val="auto"/>
                <w:sz w:val="18"/>
                <w:szCs w:val="18"/>
                <w:highlight w:val="none"/>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540" w:firstLineChars="300"/>
              <w:jc w:val="both"/>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高</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效益指标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经济效益指标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促进经济发展</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社会效益指标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r>
              <w:rPr>
                <w:rFonts w:hint="eastAsia" w:ascii="Times New Roman" w:hAnsi="Times New Roman" w:eastAsia="宋体" w:cs="Times New Roman"/>
                <w:i w:val="0"/>
                <w:iCs w:val="0"/>
                <w:color w:val="auto"/>
                <w:kern w:val="0"/>
                <w:sz w:val="18"/>
                <w:szCs w:val="18"/>
                <w:highlight w:val="none"/>
                <w:u w:val="none"/>
                <w:lang w:val="en-US" w:eastAsia="zh-CN" w:bidi="ar"/>
              </w:rPr>
              <w:t>退休群体稳定</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Times New Roman" w:hAnsi="Times New Roman" w:eastAsia="宋体" w:cs="Times New Roman"/>
                <w:i w:val="0"/>
                <w:iCs w:val="0"/>
                <w:color w:val="auto"/>
                <w:kern w:val="0"/>
                <w:sz w:val="18"/>
                <w:szCs w:val="18"/>
                <w:highlight w:val="none"/>
                <w:u w:val="none"/>
                <w:lang w:val="en-US" w:eastAsia="zh-CN" w:bidi="ar"/>
              </w:rPr>
              <w:t>退休人员</w:t>
            </w:r>
            <w:r>
              <w:rPr>
                <w:rFonts w:hint="default" w:ascii="Times New Roman" w:hAnsi="Times New Roman" w:eastAsia="宋体" w:cs="Times New Roman"/>
                <w:i w:val="0"/>
                <w:iCs w:val="0"/>
                <w:color w:val="auto"/>
                <w:kern w:val="0"/>
                <w:sz w:val="18"/>
                <w:szCs w:val="18"/>
                <w:highlight w:val="none"/>
                <w:u w:val="none"/>
                <w:lang w:val="en-US" w:eastAsia="zh-CN" w:bidi="ar"/>
              </w:rPr>
              <w:t>满意度</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9</w:t>
            </w:r>
            <w:r>
              <w:rPr>
                <w:rFonts w:hint="eastAsia" w:ascii="Times New Roman" w:hAnsi="Times New Roman" w:eastAsia="宋体" w:cs="Times New Roman"/>
                <w:i w:val="0"/>
                <w:iCs w:val="0"/>
                <w:color w:val="auto"/>
                <w:kern w:val="0"/>
                <w:sz w:val="18"/>
                <w:szCs w:val="18"/>
                <w:highlight w:val="none"/>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2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合计</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评价结论</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rPr>
            </w:pPr>
            <w:r>
              <w:rPr>
                <w:rFonts w:hint="eastAsia" w:ascii="Times New Roman" w:hAnsi="Times New Roman" w:eastAsia="微软雅黑" w:cs="Times New Roman"/>
                <w:i w:val="0"/>
                <w:iCs w:val="0"/>
                <w:color w:val="auto"/>
                <w:kern w:val="0"/>
                <w:sz w:val="16"/>
                <w:szCs w:val="16"/>
                <w:highlight w:val="none"/>
                <w:u w:val="none"/>
                <w:lang w:val="en-US" w:eastAsia="zh-CN" w:bidi="ar"/>
              </w:rPr>
              <w:t>及时完成退休资格认证，确保退休群体按时领取养老金。</w:t>
            </w:r>
            <w:r>
              <w:rPr>
                <w:rFonts w:hint="default" w:ascii="Times New Roman" w:hAnsi="Times New Roman" w:eastAsia="微软雅黑" w:cs="Times New Roman"/>
                <w:i w:val="0"/>
                <w:iCs w:val="0"/>
                <w:color w:val="auto"/>
                <w:kern w:val="0"/>
                <w:sz w:val="16"/>
                <w:szCs w:val="16"/>
                <w:highlight w:val="none"/>
                <w:u w:val="none"/>
                <w:lang w:val="en-US" w:eastAsia="zh-CN" w:bidi="ar"/>
              </w:rPr>
              <w:t>该项目自评得分100分。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存在问题</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改进措施</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809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项目负责人： </w:t>
            </w:r>
          </w:p>
        </w:tc>
        <w:tc>
          <w:tcPr>
            <w:tcW w:w="690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001"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auto"/>
                <w:sz w:val="30"/>
                <w:szCs w:val="30"/>
                <w:highlight w:val="none"/>
                <w:u w:val="none"/>
              </w:rPr>
            </w:pPr>
            <w:r>
              <w:rPr>
                <w:rFonts w:hint="default" w:ascii="Times New Roman" w:hAnsi="Times New Roman" w:eastAsia="黑体" w:cs="Times New Roman"/>
                <w:b/>
                <w:bCs/>
                <w:i w:val="0"/>
                <w:iCs w:val="0"/>
                <w:color w:val="auto"/>
                <w:kern w:val="0"/>
                <w:sz w:val="24"/>
                <w:szCs w:val="24"/>
                <w:highlight w:val="none"/>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项目名称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51052123T000008470150-离休干部遗属生活困难补助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主管部门</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劳动社保部门</w:t>
            </w:r>
          </w:p>
        </w:tc>
        <w:tc>
          <w:tcPr>
            <w:tcW w:w="1350" w:type="dxa"/>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18"/>
                <w:szCs w:val="18"/>
                <w:highlight w:val="none"/>
                <w:u w:val="none"/>
                <w:lang w:val="en-US" w:eastAsia="zh-CN" w:bidi="ar"/>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实施单位 </w:t>
            </w:r>
          </w:p>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（盖章）</w:t>
            </w:r>
          </w:p>
        </w:tc>
        <w:tc>
          <w:tcPr>
            <w:tcW w:w="29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泸县</w:t>
            </w:r>
            <w:r>
              <w:rPr>
                <w:rFonts w:hint="eastAsia" w:ascii="Times New Roman" w:hAnsi="Times New Roman" w:eastAsia="宋体" w:cs="Times New Roman"/>
                <w:i w:val="0"/>
                <w:iCs w:val="0"/>
                <w:color w:val="auto"/>
                <w:kern w:val="0"/>
                <w:sz w:val="18"/>
                <w:szCs w:val="18"/>
                <w:highlight w:val="none"/>
                <w:u w:val="none"/>
                <w:lang w:val="en-US" w:eastAsia="zh-CN" w:bidi="ar"/>
              </w:rPr>
              <w:t>社会保险事业管理局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项目基本情况</w:t>
            </w: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1.项目年度目标完成情况</w:t>
            </w: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项目年度目标</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76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ascii="宋体" w:hAnsi="宋体" w:eastAsia="宋体" w:cs="宋体"/>
                <w:i w:val="0"/>
                <w:iCs w:val="0"/>
                <w:color w:val="auto"/>
                <w:kern w:val="0"/>
                <w:sz w:val="16"/>
                <w:szCs w:val="16"/>
                <w:highlight w:val="none"/>
                <w:u w:val="none"/>
                <w:lang w:val="en-US" w:eastAsia="zh-CN" w:bidi="ar"/>
              </w:rPr>
              <w:t>做好企业离休干部遗属生活困难补助发放工作，提高遗属生活质量和水平</w:t>
            </w:r>
            <w:r>
              <w:rPr>
                <w:rFonts w:hint="eastAsia" w:ascii="宋体" w:hAnsi="宋体" w:eastAsia="宋体" w:cs="宋体"/>
                <w:i w:val="0"/>
                <w:iCs w:val="0"/>
                <w:color w:val="auto"/>
                <w:kern w:val="0"/>
                <w:sz w:val="16"/>
                <w:szCs w:val="16"/>
                <w:highlight w:val="none"/>
                <w:u w:val="none"/>
                <w:lang w:val="en-US" w:eastAsia="zh-CN" w:bidi="ar"/>
              </w:rPr>
              <w:t>。</w:t>
            </w:r>
          </w:p>
        </w:tc>
        <w:tc>
          <w:tcPr>
            <w:tcW w:w="43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auto"/>
                <w:sz w:val="18"/>
                <w:szCs w:val="18"/>
                <w:highlight w:val="none"/>
                <w:u w:val="none"/>
                <w:lang w:val="en-US" w:eastAsia="zh-CN"/>
              </w:rPr>
            </w:pPr>
            <w:r>
              <w:rPr>
                <w:rFonts w:hint="eastAsia" w:ascii="Times New Roman" w:hAnsi="Times New Roman" w:eastAsia="黑体" w:cs="Times New Roman"/>
                <w:i w:val="0"/>
                <w:iCs w:val="0"/>
                <w:color w:val="auto"/>
                <w:sz w:val="18"/>
                <w:szCs w:val="18"/>
                <w:highlight w:val="none"/>
                <w:u w:val="none"/>
                <w:lang w:val="en-US" w:eastAsia="zh-CN"/>
              </w:rPr>
              <w:t>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2.项目实施内容及过程概述</w:t>
            </w:r>
          </w:p>
        </w:tc>
        <w:tc>
          <w:tcPr>
            <w:tcW w:w="119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按时完成</w:t>
            </w:r>
            <w:r>
              <w:rPr>
                <w:rFonts w:ascii="宋体" w:hAnsi="宋体" w:eastAsia="宋体" w:cs="宋体"/>
                <w:i w:val="0"/>
                <w:iCs w:val="0"/>
                <w:color w:val="auto"/>
                <w:kern w:val="0"/>
                <w:sz w:val="16"/>
                <w:szCs w:val="16"/>
                <w:highlight w:val="none"/>
                <w:u w:val="none"/>
                <w:lang w:val="en-US" w:eastAsia="zh-CN" w:bidi="ar"/>
              </w:rPr>
              <w:t>企业离休干部遗属生活困难补助发放工作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预算执行情况（10分）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年度预算数（万元）</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年初预算</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调整后预算数</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预算执行率</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总额</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6.72</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6.72</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6.72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100.00%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其中：财政资金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6.72</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6.72</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6.72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ascii="宋体" w:hAnsi="宋体" w:eastAsia="宋体" w:cs="宋体"/>
                <w:i w:val="0"/>
                <w:iCs w:val="0"/>
                <w:color w:val="auto"/>
                <w:kern w:val="0"/>
                <w:sz w:val="16"/>
                <w:szCs w:val="16"/>
                <w:highlight w:val="none"/>
                <w:u w:val="none"/>
                <w:lang w:val="en-US" w:eastAsia="zh-CN" w:bidi="ar"/>
              </w:rPr>
              <w:t>100.00%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财政专户管理资金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单位资金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其他资金</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373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绩效指标（90分）</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一级指标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二级指标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三级指标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指标性质</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度量单位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完成值</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产出指标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数量指标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发放人数</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z w:val="18"/>
                <w:szCs w:val="18"/>
                <w:highlight w:val="none"/>
                <w:u w:val="none"/>
              </w:rPr>
              <w:t>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z w:val="18"/>
                <w:szCs w:val="18"/>
                <w:highlight w:val="none"/>
                <w:u w:val="none"/>
              </w:rPr>
              <w:t>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4</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质量指标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发放成功率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80" w:firstLineChars="100"/>
              <w:jc w:val="both"/>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eastAsia" w:ascii="Times New Roman" w:hAnsi="Times New Roman" w:eastAsia="宋体" w:cs="Times New Roman"/>
                <w:i w:val="0"/>
                <w:iCs w:val="0"/>
                <w:color w:val="auto"/>
                <w:sz w:val="18"/>
                <w:szCs w:val="18"/>
                <w:highlight w:val="none"/>
                <w:u w:val="none"/>
                <w:lang w:val="en-US" w:eastAsia="zh-CN"/>
              </w:rPr>
              <w:t>高中低</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高</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时效指标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发放到位时间</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按期</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按期</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效益指标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经济效益指标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促进经济</w:t>
            </w:r>
            <w:r>
              <w:rPr>
                <w:rFonts w:hint="eastAsia" w:ascii="Times New Roman" w:hAnsi="Times New Roman" w:eastAsia="宋体" w:cs="Times New Roman"/>
                <w:i w:val="0"/>
                <w:iCs w:val="0"/>
                <w:color w:val="auto"/>
                <w:kern w:val="0"/>
                <w:sz w:val="18"/>
                <w:szCs w:val="18"/>
                <w:highlight w:val="none"/>
                <w:u w:val="none"/>
                <w:lang w:val="en-US" w:eastAsia="zh-CN" w:bidi="ar"/>
              </w:rPr>
              <w:t>消费</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社会效益指标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r>
              <w:rPr>
                <w:rFonts w:hint="eastAsia" w:ascii="Times New Roman" w:hAnsi="Times New Roman" w:eastAsia="宋体" w:cs="Times New Roman"/>
                <w:i w:val="0"/>
                <w:iCs w:val="0"/>
                <w:color w:val="auto"/>
                <w:kern w:val="0"/>
                <w:sz w:val="18"/>
                <w:szCs w:val="18"/>
                <w:highlight w:val="none"/>
                <w:u w:val="none"/>
                <w:lang w:val="en-US" w:eastAsia="zh-CN" w:bidi="ar"/>
              </w:rPr>
              <w:t>离休遗属稳定</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定性</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促进</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满意度指标</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满意度</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9</w:t>
            </w:r>
            <w:r>
              <w:rPr>
                <w:rFonts w:hint="eastAsia" w:ascii="Times New Roman" w:hAnsi="Times New Roman" w:eastAsia="宋体" w:cs="Times New Roman"/>
                <w:i w:val="0"/>
                <w:iCs w:val="0"/>
                <w:color w:val="auto"/>
                <w:kern w:val="0"/>
                <w:sz w:val="18"/>
                <w:szCs w:val="18"/>
                <w:highlight w:val="none"/>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20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合计</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评价结论</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auto"/>
                <w:sz w:val="16"/>
                <w:szCs w:val="16"/>
                <w:highlight w:val="none"/>
                <w:u w:val="none"/>
              </w:rPr>
            </w:pPr>
            <w:r>
              <w:rPr>
                <w:rFonts w:hint="default" w:ascii="Times New Roman" w:hAnsi="Times New Roman" w:eastAsia="微软雅黑" w:cs="Times New Roman"/>
                <w:i w:val="0"/>
                <w:iCs w:val="0"/>
                <w:color w:val="auto"/>
                <w:kern w:val="0"/>
                <w:sz w:val="16"/>
                <w:szCs w:val="16"/>
                <w:highlight w:val="none"/>
                <w:u w:val="none"/>
                <w:lang w:val="en-US" w:eastAsia="zh-CN" w:bidi="ar"/>
              </w:rPr>
              <w:t>该项目自评得分</w:t>
            </w:r>
            <w:r>
              <w:rPr>
                <w:rFonts w:hint="eastAsia" w:ascii="Times New Roman" w:hAnsi="Times New Roman" w:eastAsia="微软雅黑" w:cs="Times New Roman"/>
                <w:i w:val="0"/>
                <w:iCs w:val="0"/>
                <w:color w:val="auto"/>
                <w:kern w:val="0"/>
                <w:sz w:val="16"/>
                <w:szCs w:val="16"/>
                <w:highlight w:val="none"/>
                <w:u w:val="none"/>
                <w:lang w:val="en-US" w:eastAsia="zh-CN" w:bidi="ar"/>
              </w:rPr>
              <w:t>100</w:t>
            </w:r>
            <w:r>
              <w:rPr>
                <w:rFonts w:hint="default" w:ascii="Times New Roman" w:hAnsi="Times New Roman" w:eastAsia="微软雅黑" w:cs="Times New Roman"/>
                <w:i w:val="0"/>
                <w:iCs w:val="0"/>
                <w:color w:val="auto"/>
                <w:kern w:val="0"/>
                <w:sz w:val="16"/>
                <w:szCs w:val="16"/>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存在问题</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改进措施</w:t>
            </w:r>
          </w:p>
        </w:tc>
        <w:tc>
          <w:tcPr>
            <w:tcW w:w="1392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微软雅黑" w:cs="Times New Roman"/>
                <w:i w:val="0"/>
                <w:iCs w:val="0"/>
                <w:color w:val="auto"/>
                <w:sz w:val="16"/>
                <w:szCs w:val="16"/>
                <w:highlight w:val="none"/>
                <w:u w:val="none"/>
                <w:lang w:val="en-US" w:eastAsia="zh-CN"/>
              </w:rPr>
            </w:pPr>
            <w:r>
              <w:rPr>
                <w:rFonts w:hint="eastAsia" w:ascii="Times New Roman" w:hAnsi="Times New Roman" w:eastAsia="微软雅黑" w:cs="Times New Roman"/>
                <w:i w:val="0"/>
                <w:iCs w:val="0"/>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809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 xml:space="preserve">项目负责人： </w:t>
            </w:r>
          </w:p>
        </w:tc>
        <w:tc>
          <w:tcPr>
            <w:tcW w:w="690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highlight w:val="none"/>
                <w:u w:val="none"/>
              </w:rPr>
            </w:pPr>
            <w:r>
              <w:rPr>
                <w:rFonts w:hint="default" w:ascii="Times New Roman" w:hAnsi="Times New Roman" w:eastAsia="黑体" w:cs="Times New Roman"/>
                <w:i w:val="0"/>
                <w:iCs w:val="0"/>
                <w:color w:val="auto"/>
                <w:kern w:val="0"/>
                <w:sz w:val="18"/>
                <w:szCs w:val="18"/>
                <w:highlight w:val="none"/>
                <w:u w:val="none"/>
                <w:lang w:val="en-US" w:eastAsia="zh-CN" w:bidi="ar"/>
              </w:rPr>
              <w:t>财务负责人：</w:t>
            </w:r>
          </w:p>
        </w:tc>
      </w:tr>
    </w:tbl>
    <w:p>
      <w:pPr>
        <w:pStyle w:val="6"/>
        <w:spacing w:before="93"/>
        <w:rPr>
          <w:rFonts w:hAnsi="Calibri" w:cs="仿宋"/>
          <w:b/>
          <w:bCs/>
          <w:sz w:val="32"/>
          <w:szCs w:val="32"/>
        </w:rPr>
      </w:pPr>
    </w:p>
    <w:p>
      <w:pPr>
        <w:spacing w:line="600" w:lineRule="exact"/>
        <w:jc w:val="both"/>
        <w:outlineLvl w:val="0"/>
        <w:rPr>
          <w:rFonts w:ascii="仿宋" w:hAnsi="仿宋" w:eastAsia="仿宋"/>
        </w:rPr>
      </w:pPr>
      <w:bookmarkStart w:id="74" w:name="_Toc26573"/>
      <w:r>
        <w:rPr>
          <w:rFonts w:hint="eastAsia" w:ascii="黑体" w:hAnsi="黑体" w:eastAsia="黑体"/>
          <w:sz w:val="44"/>
          <w:szCs w:val="44"/>
        </w:rPr>
        <w:t>第</w:t>
      </w:r>
      <w:r>
        <w:rPr>
          <w:rStyle w:val="28"/>
          <w:rFonts w:hint="eastAsia" w:ascii="黑体" w:hAnsi="黑体" w:eastAsia="黑体"/>
          <w:b w:val="0"/>
        </w:rPr>
        <w:t>五部分 附表</w:t>
      </w:r>
      <w:bookmarkEnd w:id="72"/>
      <w:bookmarkEnd w:id="73"/>
      <w:bookmarkEnd w:id="74"/>
      <w:bookmarkStart w:id="75" w:name="_Toc15396619"/>
    </w:p>
    <w:p>
      <w:pPr>
        <w:pStyle w:val="4"/>
        <w:rPr>
          <w:rFonts w:ascii="仿宋" w:hAnsi="仿宋" w:eastAsia="仿宋"/>
        </w:rPr>
      </w:pPr>
      <w:bookmarkStart w:id="76" w:name="_Toc21330"/>
      <w:r>
        <w:rPr>
          <w:rFonts w:hint="eastAsia" w:ascii="仿宋" w:hAnsi="仿宋" w:eastAsia="仿宋"/>
          <w:b w:val="0"/>
        </w:rPr>
        <w:t>一、收</w:t>
      </w:r>
      <w:r>
        <w:rPr>
          <w:rStyle w:val="29"/>
          <w:rFonts w:hint="eastAsia" w:ascii="仿宋" w:hAnsi="仿宋" w:eastAsia="仿宋"/>
          <w:b w:val="0"/>
          <w:bCs w:val="0"/>
        </w:rPr>
        <w:t>入支出决算总表</w:t>
      </w:r>
      <w:bookmarkEnd w:id="75"/>
      <w:bookmarkEnd w:id="76"/>
    </w:p>
    <w:p>
      <w:pPr>
        <w:pStyle w:val="4"/>
        <w:rPr>
          <w:rFonts w:ascii="仿宋" w:hAnsi="仿宋" w:eastAsia="仿宋"/>
        </w:rPr>
      </w:pPr>
      <w:bookmarkStart w:id="77" w:name="_Toc15396620"/>
      <w:bookmarkStart w:id="78" w:name="_Toc32425"/>
      <w:r>
        <w:rPr>
          <w:rFonts w:hint="eastAsia" w:ascii="仿宋" w:hAnsi="仿宋" w:eastAsia="仿宋"/>
          <w:b w:val="0"/>
        </w:rPr>
        <w:t>二、收</w:t>
      </w:r>
      <w:r>
        <w:rPr>
          <w:rStyle w:val="29"/>
          <w:rFonts w:hint="eastAsia" w:ascii="仿宋" w:hAnsi="仿宋" w:eastAsia="仿宋"/>
          <w:b w:val="0"/>
          <w:bCs w:val="0"/>
        </w:rPr>
        <w:t>入决算表</w:t>
      </w:r>
      <w:bookmarkEnd w:id="77"/>
      <w:bookmarkEnd w:id="78"/>
    </w:p>
    <w:p>
      <w:pPr>
        <w:pStyle w:val="4"/>
        <w:rPr>
          <w:rFonts w:ascii="仿宋" w:hAnsi="仿宋" w:eastAsia="仿宋"/>
        </w:rPr>
      </w:pPr>
      <w:bookmarkStart w:id="79" w:name="_Toc15396621"/>
      <w:bookmarkStart w:id="80" w:name="_Toc13855"/>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79"/>
      <w:bookmarkEnd w:id="80"/>
    </w:p>
    <w:p>
      <w:pPr>
        <w:pStyle w:val="4"/>
        <w:rPr>
          <w:rFonts w:ascii="仿宋" w:hAnsi="仿宋" w:eastAsia="仿宋"/>
          <w:b w:val="0"/>
        </w:rPr>
      </w:pPr>
      <w:bookmarkStart w:id="81" w:name="_Toc15396622"/>
      <w:bookmarkStart w:id="82" w:name="_Toc6589"/>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81"/>
      <w:bookmarkEnd w:id="82"/>
    </w:p>
    <w:p>
      <w:pPr>
        <w:pStyle w:val="4"/>
        <w:rPr>
          <w:rStyle w:val="29"/>
          <w:rFonts w:ascii="仿宋" w:hAnsi="仿宋" w:eastAsia="仿宋"/>
          <w:b w:val="0"/>
          <w:bCs w:val="0"/>
        </w:rPr>
      </w:pPr>
      <w:bookmarkStart w:id="83" w:name="_Toc15396623"/>
      <w:bookmarkStart w:id="84" w:name="_Toc28052"/>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83"/>
      <w:bookmarkEnd w:id="84"/>
      <w:bookmarkStart w:id="85" w:name="_Toc15396624"/>
    </w:p>
    <w:p>
      <w:pPr>
        <w:pStyle w:val="4"/>
        <w:rPr>
          <w:rFonts w:ascii="仿宋" w:hAnsi="仿宋" w:eastAsia="仿宋"/>
        </w:rPr>
      </w:pPr>
      <w:bookmarkStart w:id="86" w:name="_Toc24553"/>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85"/>
      <w:bookmarkEnd w:id="86"/>
    </w:p>
    <w:p>
      <w:pPr>
        <w:pStyle w:val="4"/>
        <w:rPr>
          <w:rFonts w:ascii="仿宋" w:hAnsi="仿宋" w:eastAsia="仿宋"/>
        </w:rPr>
      </w:pPr>
      <w:bookmarkStart w:id="87" w:name="_Toc15396625"/>
      <w:bookmarkStart w:id="88" w:name="_Toc16778"/>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87"/>
      <w:bookmarkEnd w:id="88"/>
    </w:p>
    <w:p>
      <w:pPr>
        <w:pStyle w:val="4"/>
        <w:rPr>
          <w:rFonts w:ascii="仿宋" w:hAnsi="仿宋" w:eastAsia="仿宋"/>
        </w:rPr>
      </w:pPr>
      <w:bookmarkStart w:id="89" w:name="_Toc11321"/>
      <w:bookmarkStart w:id="90"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89"/>
      <w:bookmarkEnd w:id="90"/>
    </w:p>
    <w:p>
      <w:pPr>
        <w:pStyle w:val="4"/>
        <w:rPr>
          <w:rFonts w:ascii="仿宋" w:hAnsi="仿宋" w:eastAsia="仿宋"/>
        </w:rPr>
      </w:pPr>
      <w:bookmarkStart w:id="91" w:name="_Toc15396627"/>
      <w:bookmarkStart w:id="92" w:name="_Toc20775"/>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91"/>
      <w:bookmarkEnd w:id="92"/>
    </w:p>
    <w:p>
      <w:pPr>
        <w:pStyle w:val="4"/>
        <w:rPr>
          <w:rFonts w:ascii="仿宋" w:hAnsi="仿宋" w:eastAsia="仿宋"/>
        </w:rPr>
      </w:pPr>
      <w:bookmarkStart w:id="93" w:name="_Toc15396628"/>
      <w:bookmarkStart w:id="94" w:name="_Toc14425"/>
      <w:r>
        <w:rPr>
          <w:rStyle w:val="29"/>
          <w:rFonts w:hint="eastAsia" w:ascii="仿宋" w:hAnsi="仿宋" w:eastAsia="仿宋"/>
          <w:b w:val="0"/>
          <w:bCs w:val="0"/>
        </w:rPr>
        <w:t>十、</w:t>
      </w:r>
      <w:bookmarkEnd w:id="93"/>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94"/>
    </w:p>
    <w:p>
      <w:pPr>
        <w:pStyle w:val="4"/>
        <w:rPr>
          <w:rFonts w:ascii="仿宋" w:hAnsi="仿宋" w:eastAsia="仿宋"/>
        </w:rPr>
      </w:pPr>
      <w:bookmarkStart w:id="95" w:name="_Toc15396629"/>
      <w:bookmarkStart w:id="96" w:name="_Toc12802"/>
      <w:r>
        <w:rPr>
          <w:rStyle w:val="29"/>
          <w:rFonts w:hint="eastAsia" w:ascii="仿宋" w:hAnsi="仿宋" w:eastAsia="仿宋"/>
          <w:b w:val="0"/>
          <w:bCs w:val="0"/>
        </w:rPr>
        <w:t>十一、</w:t>
      </w:r>
      <w:bookmarkEnd w:id="95"/>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96"/>
    </w:p>
    <w:p>
      <w:pPr>
        <w:pStyle w:val="4"/>
        <w:rPr>
          <w:rFonts w:ascii="仿宋" w:hAnsi="仿宋" w:eastAsia="仿宋"/>
        </w:rPr>
      </w:pPr>
      <w:bookmarkStart w:id="97" w:name="_Toc15396630"/>
      <w:bookmarkStart w:id="98" w:name="_Toc25528"/>
      <w:r>
        <w:rPr>
          <w:rStyle w:val="29"/>
          <w:rFonts w:hint="eastAsia" w:ascii="仿宋" w:hAnsi="仿宋" w:eastAsia="仿宋"/>
          <w:b w:val="0"/>
          <w:bCs w:val="0"/>
        </w:rPr>
        <w:t>十二、</w:t>
      </w:r>
      <w:bookmarkEnd w:id="97"/>
      <w:r>
        <w:rPr>
          <w:rStyle w:val="29"/>
          <w:rFonts w:hint="eastAsia" w:ascii="仿宋" w:hAnsi="仿宋" w:eastAsia="仿宋"/>
          <w:b w:val="0"/>
          <w:bCs w:val="0"/>
        </w:rPr>
        <w:t>国有资本经营预算财政拨款支出决算表</w:t>
      </w:r>
      <w:bookmarkEnd w:id="98"/>
    </w:p>
    <w:p>
      <w:pPr>
        <w:pStyle w:val="4"/>
        <w:rPr>
          <w:rFonts w:eastAsia="仿宋"/>
        </w:rPr>
      </w:pPr>
      <w:bookmarkStart w:id="99" w:name="_Toc15396631"/>
      <w:bookmarkStart w:id="100" w:name="_Toc11576"/>
      <w:r>
        <w:rPr>
          <w:rStyle w:val="29"/>
          <w:rFonts w:hint="eastAsia" w:ascii="仿宋" w:hAnsi="仿宋" w:eastAsia="仿宋"/>
          <w:b w:val="0"/>
          <w:bCs w:val="0"/>
        </w:rPr>
        <w:t>十三、</w:t>
      </w:r>
      <w:bookmarkEnd w:id="99"/>
      <w:r>
        <w:rPr>
          <w:rStyle w:val="29"/>
          <w:rFonts w:hint="eastAsia" w:ascii="仿宋" w:hAnsi="仿宋" w:eastAsia="仿宋"/>
          <w:b w:val="0"/>
          <w:bCs w:val="0"/>
        </w:rPr>
        <w:t>财政拨款“三公”经费支出决算表</w:t>
      </w:r>
      <w:bookmarkEnd w:id="100"/>
    </w:p>
    <w:sectPr>
      <w:pgSz w:w="16838" w:h="11906" w:orient="landscape"/>
      <w:pgMar w:top="1803" w:right="1440" w:bottom="1803" w:left="1440"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方正宋三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pPr>
        <w:ind w:left="1650"/>
      </w:pPr>
      <w:rPr>
        <w:rFonts w:hint="eastAsia" w:ascii="黑体" w:hAnsi="黑体" w:eastAsia="黑体" w:cs="黑体"/>
        <w:sz w:val="44"/>
        <w:szCs w:val="44"/>
      </w:rPr>
    </w:lvl>
  </w:abstractNum>
  <w:abstractNum w:abstractNumId="2">
    <w:nsid w:val="FDFE4628"/>
    <w:multiLevelType w:val="singleLevel"/>
    <w:tmpl w:val="FDFE4628"/>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ZjRhMGQ5MTFkNWMzMTdjZGIzNGI4OTRmNzE3Y2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06915"/>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16FD"/>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1D6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845C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B2536"/>
    <w:rsid w:val="017D3A39"/>
    <w:rsid w:val="030F056F"/>
    <w:rsid w:val="03DC2831"/>
    <w:rsid w:val="056501EA"/>
    <w:rsid w:val="081B5E94"/>
    <w:rsid w:val="0A2032A3"/>
    <w:rsid w:val="0A6F38B0"/>
    <w:rsid w:val="0B8A37D8"/>
    <w:rsid w:val="0BFB189F"/>
    <w:rsid w:val="0EBD108E"/>
    <w:rsid w:val="0F5FFB2F"/>
    <w:rsid w:val="0FFFCF60"/>
    <w:rsid w:val="10C055FF"/>
    <w:rsid w:val="118107EC"/>
    <w:rsid w:val="11DD6519"/>
    <w:rsid w:val="12AA1929"/>
    <w:rsid w:val="12C75913"/>
    <w:rsid w:val="14553725"/>
    <w:rsid w:val="145B6792"/>
    <w:rsid w:val="1568787A"/>
    <w:rsid w:val="16BB723D"/>
    <w:rsid w:val="18015F3F"/>
    <w:rsid w:val="1BE8440E"/>
    <w:rsid w:val="1C1E6EE4"/>
    <w:rsid w:val="1D155CEE"/>
    <w:rsid w:val="1D7BD0FD"/>
    <w:rsid w:val="1E156A25"/>
    <w:rsid w:val="1FDBBF84"/>
    <w:rsid w:val="20F57F95"/>
    <w:rsid w:val="240371BF"/>
    <w:rsid w:val="245B0CD5"/>
    <w:rsid w:val="25711CC6"/>
    <w:rsid w:val="25C741E6"/>
    <w:rsid w:val="276C4FA7"/>
    <w:rsid w:val="276F80C0"/>
    <w:rsid w:val="27842671"/>
    <w:rsid w:val="27895B59"/>
    <w:rsid w:val="283F26BC"/>
    <w:rsid w:val="29FD04D3"/>
    <w:rsid w:val="2ABE7A3E"/>
    <w:rsid w:val="2ABF7AE4"/>
    <w:rsid w:val="2AFF09B6"/>
    <w:rsid w:val="2CA234A8"/>
    <w:rsid w:val="2D915768"/>
    <w:rsid w:val="2EFA178C"/>
    <w:rsid w:val="2EFDF86C"/>
    <w:rsid w:val="2F9D17E1"/>
    <w:rsid w:val="30B46D73"/>
    <w:rsid w:val="319F7F4E"/>
    <w:rsid w:val="31BF7EE7"/>
    <w:rsid w:val="32F50547"/>
    <w:rsid w:val="33168519"/>
    <w:rsid w:val="356A28F1"/>
    <w:rsid w:val="357C035A"/>
    <w:rsid w:val="368E000D"/>
    <w:rsid w:val="383D272C"/>
    <w:rsid w:val="395974E0"/>
    <w:rsid w:val="39AE70AB"/>
    <w:rsid w:val="39EE1B97"/>
    <w:rsid w:val="3A4DCE41"/>
    <w:rsid w:val="3AFC5854"/>
    <w:rsid w:val="3BCB56FA"/>
    <w:rsid w:val="3C0C0783"/>
    <w:rsid w:val="3D7B4763"/>
    <w:rsid w:val="3E564594"/>
    <w:rsid w:val="3EE7C2F4"/>
    <w:rsid w:val="3F371B56"/>
    <w:rsid w:val="3F792ED8"/>
    <w:rsid w:val="3F9F3A96"/>
    <w:rsid w:val="3FA730E6"/>
    <w:rsid w:val="3FCEFD42"/>
    <w:rsid w:val="3FECA4B2"/>
    <w:rsid w:val="3FF58C48"/>
    <w:rsid w:val="42FF6694"/>
    <w:rsid w:val="46A53483"/>
    <w:rsid w:val="47D91D8D"/>
    <w:rsid w:val="48BF60AB"/>
    <w:rsid w:val="493C27E9"/>
    <w:rsid w:val="496F39ED"/>
    <w:rsid w:val="49FF41D3"/>
    <w:rsid w:val="4BE068DB"/>
    <w:rsid w:val="4BF6002B"/>
    <w:rsid w:val="4BFFC6BE"/>
    <w:rsid w:val="4C115F9A"/>
    <w:rsid w:val="4D7FFD62"/>
    <w:rsid w:val="4E467A51"/>
    <w:rsid w:val="4ECE2238"/>
    <w:rsid w:val="4FEDD48F"/>
    <w:rsid w:val="510F6820"/>
    <w:rsid w:val="51DB4B86"/>
    <w:rsid w:val="51F64DB0"/>
    <w:rsid w:val="55333C3E"/>
    <w:rsid w:val="56BBF1EB"/>
    <w:rsid w:val="57DE5BDB"/>
    <w:rsid w:val="57E3D447"/>
    <w:rsid w:val="5932754F"/>
    <w:rsid w:val="594A4899"/>
    <w:rsid w:val="597C6A1D"/>
    <w:rsid w:val="5DB843B8"/>
    <w:rsid w:val="5F67802D"/>
    <w:rsid w:val="5F7DC4F2"/>
    <w:rsid w:val="5F7F0D53"/>
    <w:rsid w:val="5FB36814"/>
    <w:rsid w:val="5FBB8E56"/>
    <w:rsid w:val="5FFB5535"/>
    <w:rsid w:val="6166423A"/>
    <w:rsid w:val="62B334AF"/>
    <w:rsid w:val="62B773E8"/>
    <w:rsid w:val="64C25C2B"/>
    <w:rsid w:val="64CA39A1"/>
    <w:rsid w:val="65136487"/>
    <w:rsid w:val="67FF3DE2"/>
    <w:rsid w:val="69630ADE"/>
    <w:rsid w:val="698C4A5A"/>
    <w:rsid w:val="69BD5F13"/>
    <w:rsid w:val="69FB0B4B"/>
    <w:rsid w:val="6BE97F42"/>
    <w:rsid w:val="6BFFE1FB"/>
    <w:rsid w:val="6C4A05C8"/>
    <w:rsid w:val="6D1C60F5"/>
    <w:rsid w:val="6D3B1A89"/>
    <w:rsid w:val="6DB7D8A3"/>
    <w:rsid w:val="6DDD057E"/>
    <w:rsid w:val="6E664038"/>
    <w:rsid w:val="6EC78701"/>
    <w:rsid w:val="6EFDD191"/>
    <w:rsid w:val="6F3F87EF"/>
    <w:rsid w:val="6F71D26C"/>
    <w:rsid w:val="6F7A5481"/>
    <w:rsid w:val="6FFE07A9"/>
    <w:rsid w:val="71A5490B"/>
    <w:rsid w:val="71BF4EC2"/>
    <w:rsid w:val="722E4900"/>
    <w:rsid w:val="72734D90"/>
    <w:rsid w:val="728564EA"/>
    <w:rsid w:val="73775AB6"/>
    <w:rsid w:val="73E75B71"/>
    <w:rsid w:val="73F76C21"/>
    <w:rsid w:val="73FD1DB8"/>
    <w:rsid w:val="7412278C"/>
    <w:rsid w:val="742A10F7"/>
    <w:rsid w:val="74746816"/>
    <w:rsid w:val="74A38813"/>
    <w:rsid w:val="75DDCDA9"/>
    <w:rsid w:val="75FF44B1"/>
    <w:rsid w:val="75FF5B16"/>
    <w:rsid w:val="76025CBF"/>
    <w:rsid w:val="764C17F9"/>
    <w:rsid w:val="774F141C"/>
    <w:rsid w:val="77670518"/>
    <w:rsid w:val="777FA627"/>
    <w:rsid w:val="77BD90EF"/>
    <w:rsid w:val="77BFC2ED"/>
    <w:rsid w:val="77DF1B5F"/>
    <w:rsid w:val="77EF2D9D"/>
    <w:rsid w:val="77F02658"/>
    <w:rsid w:val="77FD8836"/>
    <w:rsid w:val="77FF1F2D"/>
    <w:rsid w:val="78FF345F"/>
    <w:rsid w:val="79E7B28D"/>
    <w:rsid w:val="79E93803"/>
    <w:rsid w:val="7A7A887B"/>
    <w:rsid w:val="7AAD1DC0"/>
    <w:rsid w:val="7AC8166A"/>
    <w:rsid w:val="7ACFF0C2"/>
    <w:rsid w:val="7AF503B3"/>
    <w:rsid w:val="7AFB9108"/>
    <w:rsid w:val="7B2FD34C"/>
    <w:rsid w:val="7B6E9B7A"/>
    <w:rsid w:val="7BBFF1DB"/>
    <w:rsid w:val="7BD5340C"/>
    <w:rsid w:val="7BFB19D2"/>
    <w:rsid w:val="7BFC781D"/>
    <w:rsid w:val="7BFD1750"/>
    <w:rsid w:val="7BFDAA1B"/>
    <w:rsid w:val="7CDF9A82"/>
    <w:rsid w:val="7CFFA1BD"/>
    <w:rsid w:val="7CFFBB66"/>
    <w:rsid w:val="7D2E3F7A"/>
    <w:rsid w:val="7D75DEAC"/>
    <w:rsid w:val="7D76F8D4"/>
    <w:rsid w:val="7D781125"/>
    <w:rsid w:val="7D9A4DF3"/>
    <w:rsid w:val="7DCED327"/>
    <w:rsid w:val="7DED9490"/>
    <w:rsid w:val="7DF76689"/>
    <w:rsid w:val="7DFF4872"/>
    <w:rsid w:val="7E7487E6"/>
    <w:rsid w:val="7E7C2A54"/>
    <w:rsid w:val="7EBFB8C2"/>
    <w:rsid w:val="7EDD142D"/>
    <w:rsid w:val="7EEEFD72"/>
    <w:rsid w:val="7EFDF9F0"/>
    <w:rsid w:val="7EFE7E7E"/>
    <w:rsid w:val="7F0DC592"/>
    <w:rsid w:val="7F16EE7C"/>
    <w:rsid w:val="7F1D517C"/>
    <w:rsid w:val="7F5DA057"/>
    <w:rsid w:val="7F6C2237"/>
    <w:rsid w:val="7F7DB3B9"/>
    <w:rsid w:val="7F7F319B"/>
    <w:rsid w:val="7F7F3538"/>
    <w:rsid w:val="7F9F20EE"/>
    <w:rsid w:val="7FBBE890"/>
    <w:rsid w:val="7FBC2ABD"/>
    <w:rsid w:val="7FBF5D48"/>
    <w:rsid w:val="7FCCFC01"/>
    <w:rsid w:val="7FDD1748"/>
    <w:rsid w:val="7FE769C6"/>
    <w:rsid w:val="7FFBABD7"/>
    <w:rsid w:val="7FFD083E"/>
    <w:rsid w:val="7FFF9372"/>
    <w:rsid w:val="7FFFA3F6"/>
    <w:rsid w:val="84BF1F3B"/>
    <w:rsid w:val="8F55B106"/>
    <w:rsid w:val="95DF317D"/>
    <w:rsid w:val="97E77C70"/>
    <w:rsid w:val="9E3A10E2"/>
    <w:rsid w:val="9FB91FBD"/>
    <w:rsid w:val="9FD54998"/>
    <w:rsid w:val="A671883B"/>
    <w:rsid w:val="A7EFD17F"/>
    <w:rsid w:val="A7FFE43F"/>
    <w:rsid w:val="AD3D8633"/>
    <w:rsid w:val="B56FC766"/>
    <w:rsid w:val="B67C941D"/>
    <w:rsid w:val="BD775E05"/>
    <w:rsid w:val="BDFEA317"/>
    <w:rsid w:val="BEDF1616"/>
    <w:rsid w:val="C19FE17E"/>
    <w:rsid w:val="CCFE1AF4"/>
    <w:rsid w:val="CD9BBABB"/>
    <w:rsid w:val="CF705247"/>
    <w:rsid w:val="CF99F292"/>
    <w:rsid w:val="D5DA60B3"/>
    <w:rsid w:val="D759E229"/>
    <w:rsid w:val="D7C6F579"/>
    <w:rsid w:val="D8FECA92"/>
    <w:rsid w:val="D94FA3F4"/>
    <w:rsid w:val="DAFFBE66"/>
    <w:rsid w:val="DBB69C11"/>
    <w:rsid w:val="DD2C0BFE"/>
    <w:rsid w:val="DD3F6C3A"/>
    <w:rsid w:val="DDDF9FAC"/>
    <w:rsid w:val="DE3F332B"/>
    <w:rsid w:val="DE6F4A3D"/>
    <w:rsid w:val="DEF7D32B"/>
    <w:rsid w:val="DF69F8B0"/>
    <w:rsid w:val="DFC71555"/>
    <w:rsid w:val="DFFC2AB1"/>
    <w:rsid w:val="DFFC559C"/>
    <w:rsid w:val="DFFEAF63"/>
    <w:rsid w:val="DFFEDFAE"/>
    <w:rsid w:val="DFFFB5EB"/>
    <w:rsid w:val="E37A2B83"/>
    <w:rsid w:val="E37F36A2"/>
    <w:rsid w:val="E4B33E57"/>
    <w:rsid w:val="E59B84DD"/>
    <w:rsid w:val="E5BF946A"/>
    <w:rsid w:val="E6E9DA74"/>
    <w:rsid w:val="E9CE055C"/>
    <w:rsid w:val="E9E7C891"/>
    <w:rsid w:val="EA0FA501"/>
    <w:rsid w:val="EB39BD45"/>
    <w:rsid w:val="EBCF1FC2"/>
    <w:rsid w:val="EBD18F66"/>
    <w:rsid w:val="EBEF0F3A"/>
    <w:rsid w:val="ED17392C"/>
    <w:rsid w:val="ED9FFD9A"/>
    <w:rsid w:val="EDB7968B"/>
    <w:rsid w:val="EEEEFEF9"/>
    <w:rsid w:val="EEF73F60"/>
    <w:rsid w:val="EFBEEB72"/>
    <w:rsid w:val="EFDF6FAD"/>
    <w:rsid w:val="EFED9E42"/>
    <w:rsid w:val="EFFB7FDD"/>
    <w:rsid w:val="EFFFB194"/>
    <w:rsid w:val="F2E1F9D4"/>
    <w:rsid w:val="F2FB4694"/>
    <w:rsid w:val="F3FF00FB"/>
    <w:rsid w:val="F5BF04B9"/>
    <w:rsid w:val="F5FF7449"/>
    <w:rsid w:val="F5FFB049"/>
    <w:rsid w:val="F73F4195"/>
    <w:rsid w:val="F7795DFA"/>
    <w:rsid w:val="F7880819"/>
    <w:rsid w:val="F7AF180D"/>
    <w:rsid w:val="F7B4A5AB"/>
    <w:rsid w:val="F7BC0CAA"/>
    <w:rsid w:val="F7BDBFA7"/>
    <w:rsid w:val="F7FAD68F"/>
    <w:rsid w:val="F7FB14CF"/>
    <w:rsid w:val="F7FF3D49"/>
    <w:rsid w:val="F9278BED"/>
    <w:rsid w:val="F9FF3DB2"/>
    <w:rsid w:val="FB3FC69C"/>
    <w:rsid w:val="FBDFF225"/>
    <w:rsid w:val="FBF7AB63"/>
    <w:rsid w:val="FC2F3373"/>
    <w:rsid w:val="FCF51535"/>
    <w:rsid w:val="FD77F6B8"/>
    <w:rsid w:val="FD7E9E69"/>
    <w:rsid w:val="FDA794A1"/>
    <w:rsid w:val="FDBD0764"/>
    <w:rsid w:val="FDD69328"/>
    <w:rsid w:val="FDDFEC0E"/>
    <w:rsid w:val="FDE58BDD"/>
    <w:rsid w:val="FDEC7001"/>
    <w:rsid w:val="FDEF3642"/>
    <w:rsid w:val="FDFBE00B"/>
    <w:rsid w:val="FE2B04B9"/>
    <w:rsid w:val="FEB9EFE4"/>
    <w:rsid w:val="FEDB5ECE"/>
    <w:rsid w:val="FEDFE87F"/>
    <w:rsid w:val="FEF1D25B"/>
    <w:rsid w:val="FEFE82FE"/>
    <w:rsid w:val="FEFF7E43"/>
    <w:rsid w:val="FF3EF90F"/>
    <w:rsid w:val="FF3F8CA5"/>
    <w:rsid w:val="FFAF6081"/>
    <w:rsid w:val="FFDB4A38"/>
    <w:rsid w:val="FFDB4CD0"/>
    <w:rsid w:val="FFECCD8C"/>
    <w:rsid w:val="FFED60BD"/>
    <w:rsid w:val="FFEE08F0"/>
    <w:rsid w:val="FFEE7F9F"/>
    <w:rsid w:val="FFF63431"/>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rPr>
      <w:kern w:val="0"/>
      <w:sz w:val="24"/>
      <w:szCs w:val="24"/>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4037;&#20316;&#25991;&#20214;\&#26366;&#27946;\&#20915;&#31639;&#20844;&#24320;\&#22270;&#34920;&#24037;&#2085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4037;&#20316;&#25991;&#20214;\&#26366;&#27946;\&#20915;&#31639;&#20844;&#24320;\&#22270;&#34920;&#24037;&#2085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4037;&#20316;&#25991;&#20214;\&#26366;&#27946;\&#20915;&#31639;&#20844;&#24320;\&#22270;&#34920;&#24037;&#2085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4037;&#20316;&#25991;&#20214;\&#26366;&#27946;\&#20915;&#31639;&#20844;&#24320;\&#22270;&#34920;&#24037;&#2085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4037;&#20316;&#25991;&#20214;\&#26366;&#27946;\&#20915;&#31639;&#20844;&#24320;\&#22270;&#34920;&#24037;&#20855;.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4037;&#20316;&#25991;&#20214;\&#26366;&#27946;\&#20915;&#31639;&#20844;&#24320;\&#22270;&#34920;&#24037;&#208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收、支决算总计变动情况图</a:t>
            </a:r>
            <a:endParaRPr lang="zh-CN" sz="1400" b="0" i="0" u="none" strike="noStrike" kern="1200" spc="0" baseline="0">
              <a:solidFill>
                <a:schemeClr val="tx1">
                  <a:lumMod val="65000"/>
                  <a:lumOff val="35000"/>
                </a:schemeClr>
              </a:solidFill>
              <a:latin typeface="+mn-lt"/>
              <a:ea typeface="+mn-ea"/>
              <a:cs typeface="+mn-cs"/>
            </a:endParaRPr>
          </a:p>
        </c:rich>
      </c:tx>
      <c:layout/>
      <c:overlay val="0"/>
    </c:title>
    <c:autoTitleDeleted val="0"/>
    <c:plotArea>
      <c:layout/>
      <c:barChart>
        <c:barDir val="col"/>
        <c:grouping val="clustered"/>
        <c:varyColors val="0"/>
        <c:ser>
          <c:idx val="0"/>
          <c:order val="0"/>
          <c:tx>
            <c:strRef>
              <c:f>[图表工具.xls]Sheet1!$B$3</c:f>
              <c:strCache>
                <c:ptCount val="1"/>
                <c:pt idx="0">
                  <c:v>2022</c:v>
                </c:pt>
              </c:strCache>
            </c:strRef>
          </c:tx>
          <c:spPr>
            <a:solidFill>
              <a:schemeClr val="accent1">
                <a:alpha val="100000"/>
              </a:schemeClr>
            </a:solidFill>
            <a:ln w="3175">
              <a:noFill/>
            </a:ln>
          </c:spPr>
          <c:invertIfNegative val="0"/>
          <c:dLbls>
            <c:delete val="1"/>
          </c:dLbls>
          <c:cat>
            <c:strRef>
              <c:f>[图表工具.xls]Sheet1!$C$2:$D$2</c:f>
              <c:strCache>
                <c:ptCount val="2"/>
                <c:pt idx="0">
                  <c:v>收入总计（万元）</c:v>
                </c:pt>
                <c:pt idx="1">
                  <c:v>支出总计（万元）</c:v>
                </c:pt>
              </c:strCache>
            </c:strRef>
          </c:cat>
          <c:val>
            <c:numRef>
              <c:f>[图表工具.xls]Sheet1!$C$3:$D$3</c:f>
              <c:numCache>
                <c:formatCode>General</c:formatCode>
                <c:ptCount val="2"/>
                <c:pt idx="0">
                  <c:v>1393.17</c:v>
                </c:pt>
                <c:pt idx="1">
                  <c:v>1393.17</c:v>
                </c:pt>
              </c:numCache>
            </c:numRef>
          </c:val>
        </c:ser>
        <c:ser>
          <c:idx val="1"/>
          <c:order val="1"/>
          <c:tx>
            <c:strRef>
              <c:f>[图表工具.xls]Sheet1!$B$4</c:f>
              <c:strCache>
                <c:ptCount val="1"/>
                <c:pt idx="0">
                  <c:v>2023</c:v>
                </c:pt>
              </c:strCache>
            </c:strRef>
          </c:tx>
          <c:spPr>
            <a:solidFill>
              <a:schemeClr val="accent2">
                <a:alpha val="100000"/>
              </a:schemeClr>
            </a:solidFill>
            <a:ln w="3175">
              <a:noFill/>
            </a:ln>
          </c:spPr>
          <c:invertIfNegative val="0"/>
          <c:dLbls>
            <c:delete val="1"/>
          </c:dLbls>
          <c:cat>
            <c:strRef>
              <c:f>[图表工具.xls]Sheet1!$C$2:$D$2</c:f>
              <c:strCache>
                <c:ptCount val="2"/>
                <c:pt idx="0">
                  <c:v>收入总计（万元）</c:v>
                </c:pt>
                <c:pt idx="1">
                  <c:v>支出总计（万元）</c:v>
                </c:pt>
              </c:strCache>
            </c:strRef>
          </c:cat>
          <c:val>
            <c:numRef>
              <c:f>[图表工具.xls]Sheet1!$C$4:$D$4</c:f>
              <c:numCache>
                <c:formatCode>General</c:formatCode>
                <c:ptCount val="2"/>
                <c:pt idx="0">
                  <c:v>1317.69</c:v>
                </c:pt>
                <c:pt idx="1">
                  <c:v>1317.69</c:v>
                </c:pt>
              </c:numCache>
            </c:numRef>
          </c:val>
        </c:ser>
        <c:dLbls>
          <c:showLegendKey val="0"/>
          <c:showVal val="0"/>
          <c:showCatName val="0"/>
          <c:showSerName val="0"/>
          <c:showPercent val="0"/>
          <c:showBubbleSize val="0"/>
        </c:dLbls>
        <c:gapWidth val="219"/>
        <c:overlap val="-27"/>
        <c:axId val="503782496"/>
        <c:axId val="915983734"/>
      </c:barChart>
      <c:catAx>
        <c:axId val="5037824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5983734"/>
        <c:crosses val="autoZero"/>
        <c:auto val="1"/>
        <c:lblAlgn val="ctr"/>
        <c:lblOffset val="100"/>
        <c:noMultiLvlLbl val="0"/>
      </c:catAx>
      <c:valAx>
        <c:axId val="91598373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dash"/>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782496"/>
        <c:crosses val="autoZero"/>
        <c:crossBetween val="between"/>
      </c:valAx>
      <c:spPr>
        <a:noFill/>
        <a:ln w="3175">
          <a:noFill/>
        </a:ln>
      </c:spPr>
    </c:plotArea>
    <c:legend>
      <c:legendPos val="b"/>
      <c:layout>
        <c:manualLayout>
          <c:xMode val="edge"/>
          <c:yMode val="edge"/>
          <c:x val="0.4125"/>
          <c:y val="0.8945"/>
          <c:w val="0.1745"/>
          <c:h val="0.0775"/>
        </c:manualLayout>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8684210526316"/>
          <c:y val="0.149768518518519"/>
          <c:w val="0.366184210526316"/>
          <c:h val="0.644212962962963"/>
        </c:manualLayout>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Lbls>
            <c:delete val="1"/>
          </c:dLbls>
          <c:cat>
            <c:strRef>
              <c:f>[图表工具.xls]Sheet1!$B$10:$D$10</c:f>
              <c:strCache>
                <c:ptCount val="3"/>
                <c:pt idx="0">
                  <c:v>一般公共预算财政拨款收入</c:v>
                </c:pt>
                <c:pt idx="1">
                  <c:v>政府性基金</c:v>
                </c:pt>
                <c:pt idx="2">
                  <c:v>其他收入</c:v>
                </c:pt>
              </c:strCache>
            </c:strRef>
          </c:cat>
          <c:val>
            <c:numRef>
              <c:f>[图表工具.xls]Sheet1!$B$11:$D$11</c:f>
              <c:numCache>
                <c:formatCode>General</c:formatCode>
                <c:ptCount val="3"/>
                <c:pt idx="0">
                  <c:v>472.13</c:v>
                </c:pt>
                <c:pt idx="1">
                  <c:v>0</c:v>
                </c:pt>
                <c:pt idx="2">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t"/>
      <c:layout>
        <c:manualLayout>
          <c:xMode val="edge"/>
          <c:yMode val="edge"/>
          <c:x val="0.210263157894737"/>
          <c:y val="0.90787037037037"/>
          <c:w val="0.772920564721892"/>
          <c:h val="0.1129556116925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endParaRPr sz="1400" b="0" i="0" u="none" strike="noStrike" baseline="0">
              <a:solidFill>
                <a:srgbClr val="404040">
                  <a:alpha val="100000"/>
                </a:srgbClr>
              </a:solidFill>
              <a:latin typeface="微软雅黑" panose="020B0503020204020204" charset="-122"/>
              <a:ea typeface="微软雅黑" panose="020B0503020204020204" charset="-122"/>
              <a:cs typeface="微软雅黑" panose="020B0503020204020204" charset="-122"/>
            </a:endParaRPr>
          </a:p>
        </c:rich>
      </c:tx>
      <c:layout/>
      <c:overlay val="0"/>
      <c:spPr>
        <a:noFill/>
        <a:ln>
          <a:noFill/>
        </a:ln>
        <a:effectLst/>
      </c:spPr>
    </c:title>
    <c:autoTitleDeleted val="0"/>
    <c:plotArea>
      <c:layout>
        <c:manualLayout>
          <c:layoutTarget val="inner"/>
          <c:xMode val="edge"/>
          <c:yMode val="edge"/>
          <c:x val="0.326834104428288"/>
          <c:y val="0.148251100301135"/>
          <c:w val="0.375941837409121"/>
          <c:h val="0.658790826963169"/>
        </c:manualLayout>
      </c:layout>
      <c:pieChart>
        <c:varyColors val="1"/>
        <c:ser>
          <c:idx val="1"/>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multiLvlStrRef>
              <c:f>[图表工具.xls]Sheet1!$B$18:$C$19</c:f>
              <c:multiLvlStrCache>
                <c:ptCount val="2"/>
                <c:lvl>
                  <c:pt idx="0">
                    <c:v>基本支出</c:v>
                  </c:pt>
                  <c:pt idx="1">
                    <c:v>项目支出</c:v>
                  </c:pt>
                </c:lvl>
                <c:lvl/>
              </c:multiLvlStrCache>
            </c:multiLvlStrRef>
          </c:cat>
          <c:val>
            <c:numRef>
              <c:f>[图表工具.xls]Sheet1!$B$20:$C$20</c:f>
              <c:numCache>
                <c:formatCode>0%</c:formatCode>
                <c:ptCount val="2"/>
                <c:pt idx="0">
                  <c:v>0.6</c:v>
                </c:pt>
                <c:pt idx="1" c:formatCode="0.00%">
                  <c:v>0.3972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181361533377396"/>
          <c:y val="0.884588644264195"/>
          <c:w val="0.344455511288181"/>
          <c:h val="0.13009345794392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endParaRPr sz="1400" b="1"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49424685675388"/>
          <c:y val="0.106380743786876"/>
        </c:manualLayout>
      </c:layout>
      <c:overlay val="0"/>
      <c:spPr>
        <a:noFill/>
        <a:ln>
          <a:noFill/>
        </a:ln>
        <a:effectLst/>
      </c:spPr>
    </c:title>
    <c:autoTitleDeleted val="0"/>
    <c:plotArea>
      <c:layout>
        <c:manualLayout>
          <c:layoutTarget val="inner"/>
          <c:xMode val="edge"/>
          <c:yMode val="edge"/>
          <c:x val="0.123582629674306"/>
          <c:y val="0.0110294117647059"/>
          <c:w val="0.87189384800965"/>
          <c:h val="0.542058823529412"/>
        </c:manualLayout>
      </c:layout>
      <c:barChart>
        <c:barDir val="col"/>
        <c:grouping val="clustered"/>
        <c:varyColors val="0"/>
        <c:ser>
          <c:idx val="0"/>
          <c:order val="0"/>
          <c:spPr>
            <a:solidFill>
              <a:schemeClr val="accent1"/>
            </a:solidFill>
            <a:ln>
              <a:noFill/>
            </a:ln>
            <a:effectLst/>
          </c:spPr>
          <c:invertIfNegative val="0"/>
          <c:dLbls>
            <c:delete val="1"/>
          </c:dLbls>
          <c:trendline>
            <c:spPr>
              <a:ln w="19050" cap="rnd" cmpd="sng" algn="ctr">
                <a:solidFill>
                  <a:schemeClr val="accent1"/>
                </a:solidFill>
                <a:prstDash val="sysDot"/>
                <a:round/>
              </a:ln>
              <a:effectLst/>
            </c:spPr>
            <c:trendlineType val="linear"/>
            <c:forward val="0"/>
            <c:backward val="0"/>
            <c:dispRSqr val="0"/>
            <c:dispEq val="0"/>
          </c:trendline>
          <c:cat>
            <c:strRef>
              <c:f>[图表工具.xls]Sheet1!$B$29:$C$29</c:f>
              <c:strCache>
                <c:ptCount val="2"/>
                <c:pt idx="0">
                  <c:v>2022年</c:v>
                </c:pt>
                <c:pt idx="1">
                  <c:v>2023年</c:v>
                </c:pt>
              </c:strCache>
            </c:strRef>
          </c:cat>
          <c:val>
            <c:numRef>
              <c:f>[图表工具.xls]Sheet1!$B$30:$C$30</c:f>
              <c:numCache>
                <c:formatCode>General</c:formatCode>
                <c:ptCount val="2"/>
                <c:pt idx="0">
                  <c:v>1393.17</c:v>
                </c:pt>
                <c:pt idx="1">
                  <c:v>1317</c:v>
                </c:pt>
              </c:numCache>
            </c:numRef>
          </c:val>
        </c:ser>
        <c:dLbls>
          <c:showLegendKey val="0"/>
          <c:showVal val="0"/>
          <c:showCatName val="0"/>
          <c:showSerName val="0"/>
          <c:showPercent val="0"/>
          <c:showBubbleSize val="0"/>
        </c:dLbls>
        <c:gapWidth val="246"/>
        <c:overlap val="-28"/>
        <c:axId val="889036276"/>
        <c:axId val="950873259"/>
      </c:barChart>
      <c:catAx>
        <c:axId val="8890362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0873259"/>
        <c:crosses val="autoZero"/>
        <c:auto val="1"/>
        <c:lblAlgn val="ctr"/>
        <c:lblOffset val="100"/>
        <c:noMultiLvlLbl val="0"/>
      </c:catAx>
      <c:valAx>
        <c:axId val="950873259"/>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90362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收、支决算总计变动情况图</a:t>
            </a:r>
            <a:endParaRPr lang="zh-CN" sz="1400" b="0" i="0" u="none" strike="noStrike" kern="1200" spc="0" baseline="0">
              <a:solidFill>
                <a:schemeClr val="tx1">
                  <a:lumMod val="65000"/>
                  <a:lumOff val="35000"/>
                </a:schemeClr>
              </a:solidFill>
              <a:latin typeface="+mn-lt"/>
              <a:ea typeface="+mn-ea"/>
              <a:cs typeface="+mn-cs"/>
            </a:endParaRPr>
          </a:p>
        </c:rich>
      </c:tx>
      <c:layout/>
      <c:overlay val="0"/>
    </c:title>
    <c:autoTitleDeleted val="0"/>
    <c:plotArea>
      <c:layout/>
      <c:barChart>
        <c:barDir val="col"/>
        <c:grouping val="clustered"/>
        <c:varyColors val="0"/>
        <c:ser>
          <c:idx val="0"/>
          <c:order val="0"/>
          <c:tx>
            <c:strRef>
              <c:f>[图表工具.xls]Sheet1!$B$3</c:f>
              <c:strCache>
                <c:ptCount val="1"/>
                <c:pt idx="0">
                  <c:v>2022</c:v>
                </c:pt>
              </c:strCache>
            </c:strRef>
          </c:tx>
          <c:spPr>
            <a:solidFill>
              <a:schemeClr val="accent1">
                <a:alpha val="100000"/>
              </a:schemeClr>
            </a:solidFill>
            <a:ln w="3175">
              <a:noFill/>
            </a:ln>
          </c:spPr>
          <c:invertIfNegative val="0"/>
          <c:dLbls>
            <c:delete val="1"/>
          </c:dLbls>
          <c:cat>
            <c:strRef>
              <c:f>[图表工具.xls]Sheet1!$C$2:$D$2</c:f>
              <c:strCache>
                <c:ptCount val="2"/>
                <c:pt idx="0">
                  <c:v>收入总计（万元）</c:v>
                </c:pt>
                <c:pt idx="1">
                  <c:v>支出总计（万元）</c:v>
                </c:pt>
              </c:strCache>
            </c:strRef>
          </c:cat>
          <c:val>
            <c:numRef>
              <c:f>[图表工具.xls]Sheet1!$C$3:$D$3</c:f>
              <c:numCache>
                <c:formatCode>General</c:formatCode>
                <c:ptCount val="2"/>
                <c:pt idx="0">
                  <c:v>1393.17</c:v>
                </c:pt>
                <c:pt idx="1">
                  <c:v>1393.17</c:v>
                </c:pt>
              </c:numCache>
            </c:numRef>
          </c:val>
        </c:ser>
        <c:ser>
          <c:idx val="1"/>
          <c:order val="1"/>
          <c:tx>
            <c:strRef>
              <c:f>[图表工具.xls]Sheet1!$B$4</c:f>
              <c:strCache>
                <c:ptCount val="1"/>
                <c:pt idx="0">
                  <c:v>2023</c:v>
                </c:pt>
              </c:strCache>
            </c:strRef>
          </c:tx>
          <c:spPr>
            <a:solidFill>
              <a:schemeClr val="accent2">
                <a:alpha val="100000"/>
              </a:schemeClr>
            </a:solidFill>
            <a:ln w="3175">
              <a:noFill/>
            </a:ln>
          </c:spPr>
          <c:invertIfNegative val="0"/>
          <c:dLbls>
            <c:delete val="1"/>
          </c:dLbls>
          <c:cat>
            <c:strRef>
              <c:f>[图表工具.xls]Sheet1!$C$2:$D$2</c:f>
              <c:strCache>
                <c:ptCount val="2"/>
                <c:pt idx="0">
                  <c:v>收入总计（万元）</c:v>
                </c:pt>
                <c:pt idx="1">
                  <c:v>支出总计（万元）</c:v>
                </c:pt>
              </c:strCache>
            </c:strRef>
          </c:cat>
          <c:val>
            <c:numRef>
              <c:f>[图表工具.xls]Sheet1!$C$4:$D$4</c:f>
              <c:numCache>
                <c:formatCode>General</c:formatCode>
                <c:ptCount val="2"/>
                <c:pt idx="0">
                  <c:v>1317.69</c:v>
                </c:pt>
                <c:pt idx="1">
                  <c:v>1317.69</c:v>
                </c:pt>
              </c:numCache>
            </c:numRef>
          </c:val>
        </c:ser>
        <c:dLbls>
          <c:showLegendKey val="0"/>
          <c:showVal val="0"/>
          <c:showCatName val="0"/>
          <c:showSerName val="0"/>
          <c:showPercent val="0"/>
          <c:showBubbleSize val="0"/>
        </c:dLbls>
        <c:gapWidth val="219"/>
        <c:overlap val="-27"/>
        <c:axId val="503782496"/>
        <c:axId val="915983734"/>
      </c:barChart>
      <c:catAx>
        <c:axId val="5037824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5983734"/>
        <c:crosses val="autoZero"/>
        <c:auto val="1"/>
        <c:lblAlgn val="ctr"/>
        <c:lblOffset val="100"/>
        <c:noMultiLvlLbl val="0"/>
      </c:catAx>
      <c:valAx>
        <c:axId val="91598373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dash"/>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782496"/>
        <c:crosses val="autoZero"/>
        <c:crossBetween val="between"/>
      </c:valAx>
      <c:spPr>
        <a:noFill/>
        <a:ln w="3175">
          <a:noFill/>
        </a:ln>
      </c:spPr>
    </c:plotArea>
    <c:legend>
      <c:legendPos val="b"/>
      <c:layout>
        <c:manualLayout>
          <c:xMode val="edge"/>
          <c:yMode val="edge"/>
          <c:x val="0.4125"/>
          <c:y val="0.8945"/>
          <c:w val="0.1745"/>
          <c:h val="0.0775"/>
        </c:manualLayout>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一般公共预算财政拨款支出决算结构图</a:t>
            </a:r>
          </a:p>
        </c:rich>
      </c:tx>
      <c:layout>
        <c:manualLayout>
          <c:xMode val="edge"/>
          <c:yMode val="edge"/>
          <c:x val="0.185187623436471"/>
          <c:y val="0.056647398843930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[图表工具.xls]Sheet1!$A$41:$D$41</c:f>
              <c:strCache>
                <c:ptCount val="4"/>
                <c:pt idx="0">
                  <c:v>一般公共服务支出</c:v>
                </c:pt>
                <c:pt idx="1">
                  <c:v>社会保障和就业支出</c:v>
                </c:pt>
                <c:pt idx="2">
                  <c:v>卫生健康支出</c:v>
                </c:pt>
                <c:pt idx="3">
                  <c:v>住房保障支出</c:v>
                </c:pt>
              </c:strCache>
            </c:strRef>
          </c:cat>
          <c:val>
            <c:numRef>
              <c:f>[图表工具.xls]Sheet1!$A$42:$D$42</c:f>
              <c:numCache>
                <c:formatCode>General</c:formatCode>
                <c:ptCount val="4"/>
                <c:pt idx="1" c:formatCode="0.00%">
                  <c:v>0.942</c:v>
                </c:pt>
                <c:pt idx="2" c:formatCode="0.00%">
                  <c:v>0.02</c:v>
                </c:pt>
                <c:pt idx="3" c:formatCode="0.00%">
                  <c:v>0.038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2531394580304"/>
          <c:y val="0.89930715935334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10000</Words>
  <Characters>11392</Characters>
  <Lines>42</Lines>
  <Paragraphs>11</Paragraphs>
  <TotalTime>18</TotalTime>
  <ScaleCrop>false</ScaleCrop>
  <LinksUpToDate>false</LinksUpToDate>
  <CharactersWithSpaces>11474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2024-09-26T08:09:00Z</dcterms:created>
  <dc:creator>曹颖</dc:creator>
  <cp:lastModifiedBy>both*</cp:lastModifiedBy>
  <cp:lastPrinted>2023-08-06T02:35:00Z</cp:lastPrinted>
  <dcterms:modified xsi:type="dcterms:W3CDTF">2024-10-07T14:22:53Z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CD10E573CE50476DAD97616C1A4DE798_13</vt:lpwstr>
  </property>
</Properties>
</file>